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DE1" w:rsidRDefault="00192DE1" w:rsidP="00192DE1">
      <w:pPr>
        <w:autoSpaceDE w:val="0"/>
        <w:autoSpaceDN w:val="0"/>
        <w:adjustRightInd w:val="0"/>
        <w:spacing w:after="200"/>
        <w:rPr>
          <w:rFonts w:ascii="Calibri" w:hAnsi="Calibri" w:cs="Calibri"/>
          <w:sz w:val="22"/>
          <w:szCs w:val="22"/>
          <w:lang w:val="en"/>
        </w:rPr>
      </w:pPr>
    </w:p>
    <w:p w:rsidR="00192DE1" w:rsidRDefault="00192DE1" w:rsidP="00192DE1">
      <w:pPr>
        <w:autoSpaceDE w:val="0"/>
        <w:autoSpaceDN w:val="0"/>
        <w:adjustRightInd w:val="0"/>
      </w:pPr>
    </w:p>
    <w:p w:rsidR="00192DE1" w:rsidRDefault="00192DE1" w:rsidP="00192DE1">
      <w:pPr>
        <w:autoSpaceDE w:val="0"/>
        <w:autoSpaceDN w:val="0"/>
        <w:adjustRightInd w:val="0"/>
      </w:pPr>
    </w:p>
    <w:p w:rsidR="00192DE1" w:rsidRDefault="00192DE1" w:rsidP="00192DE1">
      <w:pPr>
        <w:autoSpaceDE w:val="0"/>
        <w:autoSpaceDN w:val="0"/>
        <w:adjustRightInd w:val="0"/>
        <w:rPr>
          <w:rFonts w:ascii="Georgia" w:hAnsi="Georgia" w:cs="Georgia"/>
          <w:kern w:val="16"/>
          <w:sz w:val="21"/>
          <w:szCs w:val="21"/>
        </w:rPr>
      </w:pPr>
      <w:r>
        <w:rPr>
          <w:rFonts w:ascii="Georgia" w:hAnsi="Georgia" w:cs="Georgia"/>
          <w:kern w:val="16"/>
          <w:sz w:val="21"/>
          <w:szCs w:val="21"/>
        </w:rPr>
        <w:t>Press Contact:</w:t>
      </w:r>
    </w:p>
    <w:p w:rsidR="00192DE1" w:rsidRDefault="00192DE1" w:rsidP="00192DE1">
      <w:pPr>
        <w:autoSpaceDE w:val="0"/>
        <w:autoSpaceDN w:val="0"/>
        <w:adjustRightInd w:val="0"/>
        <w:rPr>
          <w:rFonts w:ascii="Georgia" w:hAnsi="Georgia" w:cs="Georgia"/>
          <w:kern w:val="16"/>
          <w:sz w:val="21"/>
          <w:szCs w:val="21"/>
        </w:rPr>
      </w:pPr>
      <w:r>
        <w:rPr>
          <w:rFonts w:ascii="Georgia" w:hAnsi="Georgia" w:cs="Georgia"/>
          <w:kern w:val="16"/>
          <w:sz w:val="21"/>
          <w:szCs w:val="21"/>
        </w:rPr>
        <w:t>Harry Forbes, WNET</w:t>
      </w:r>
    </w:p>
    <w:p w:rsidR="00192DE1" w:rsidRDefault="00192DE1" w:rsidP="00192DE1">
      <w:pPr>
        <w:autoSpaceDE w:val="0"/>
        <w:autoSpaceDN w:val="0"/>
        <w:adjustRightInd w:val="0"/>
        <w:rPr>
          <w:rFonts w:ascii="Georgia" w:hAnsi="Georgia" w:cs="Georgia"/>
          <w:sz w:val="20"/>
          <w:szCs w:val="20"/>
        </w:rPr>
      </w:pPr>
      <w:r>
        <w:rPr>
          <w:rFonts w:ascii="Georgia" w:hAnsi="Georgia" w:cs="Georgia"/>
          <w:kern w:val="16"/>
          <w:sz w:val="21"/>
          <w:szCs w:val="21"/>
        </w:rPr>
        <w:t xml:space="preserve">212-560-8027 or </w:t>
      </w:r>
      <w:hyperlink r:id="rId7" w:history="1">
        <w:r>
          <w:rPr>
            <w:rFonts w:ascii="Georgia" w:hAnsi="Georgia" w:cs="Georgia"/>
            <w:color w:val="000080"/>
            <w:kern w:val="16"/>
            <w:sz w:val="21"/>
            <w:szCs w:val="21"/>
            <w:u w:val="single"/>
          </w:rPr>
          <w:t>ForbesH@wnet.org</w:t>
        </w:r>
      </w:hyperlink>
      <w:r>
        <w:rPr>
          <w:rFonts w:ascii="Georgia" w:hAnsi="Georgia" w:cs="Georgia"/>
          <w:sz w:val="20"/>
          <w:szCs w:val="20"/>
        </w:rPr>
        <w:t xml:space="preserve"> </w:t>
      </w:r>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 </w:t>
      </w:r>
    </w:p>
    <w:p w:rsidR="00192DE1" w:rsidRDefault="00192DE1" w:rsidP="00192DE1">
      <w:pPr>
        <w:autoSpaceDE w:val="0"/>
        <w:autoSpaceDN w:val="0"/>
        <w:adjustRightInd w:val="0"/>
        <w:rPr>
          <w:rFonts w:ascii="Georgia" w:hAnsi="Georgia" w:cs="Georgia"/>
          <w:kern w:val="20"/>
          <w:sz w:val="21"/>
          <w:szCs w:val="21"/>
        </w:rPr>
      </w:pPr>
      <w:r>
        <w:rPr>
          <w:rFonts w:ascii="Georgia" w:hAnsi="Georgia" w:cs="Georgia"/>
          <w:kern w:val="20"/>
          <w:sz w:val="21"/>
          <w:szCs w:val="21"/>
        </w:rPr>
        <w:t xml:space="preserve">Press materials; </w:t>
      </w:r>
      <w:hyperlink r:id="rId8" w:history="1">
        <w:r>
          <w:rPr>
            <w:rFonts w:ascii="Georgia" w:hAnsi="Georgia" w:cs="Georgia"/>
            <w:color w:val="0000FF"/>
            <w:kern w:val="20"/>
            <w:sz w:val="21"/>
            <w:szCs w:val="21"/>
            <w:u w:val="single"/>
          </w:rPr>
          <w:t>http://pressroom.pbs.org/</w:t>
        </w:r>
      </w:hyperlink>
      <w:r>
        <w:rPr>
          <w:rFonts w:ascii="Georgia" w:hAnsi="Georgia" w:cs="Georgia"/>
          <w:kern w:val="20"/>
          <w:sz w:val="21"/>
          <w:szCs w:val="21"/>
        </w:rPr>
        <w:t xml:space="preserve"> or </w:t>
      </w:r>
      <w:hyperlink r:id="rId9" w:history="1">
        <w:r>
          <w:rPr>
            <w:rFonts w:ascii="Georgia" w:hAnsi="Georgia" w:cs="Georgia"/>
            <w:color w:val="0000FF"/>
            <w:kern w:val="20"/>
            <w:sz w:val="21"/>
            <w:szCs w:val="21"/>
            <w:u w:val="single"/>
          </w:rPr>
          <w:t>http://www.thirteen.org/13pressroom/</w:t>
        </w:r>
      </w:hyperlink>
    </w:p>
    <w:p w:rsidR="00192DE1" w:rsidRDefault="00192DE1" w:rsidP="00192DE1">
      <w:pPr>
        <w:autoSpaceDE w:val="0"/>
        <w:autoSpaceDN w:val="0"/>
        <w:adjustRightInd w:val="0"/>
        <w:rPr>
          <w:rFonts w:ascii="Georgia" w:hAnsi="Georgia" w:cs="Georgia"/>
          <w:sz w:val="21"/>
          <w:szCs w:val="21"/>
        </w:rPr>
      </w:pPr>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Website: </w:t>
      </w:r>
      <w:hyperlink r:id="rId10" w:history="1">
        <w:r>
          <w:rPr>
            <w:rFonts w:ascii="Georgia" w:hAnsi="Georgia" w:cs="Georgia"/>
            <w:color w:val="0000FF"/>
            <w:sz w:val="21"/>
            <w:szCs w:val="21"/>
            <w:u w:val="single"/>
          </w:rPr>
          <w:t>http://www.pbs.org/wnet/gperf/</w:t>
        </w:r>
      </w:hyperlink>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Facebook: </w:t>
      </w:r>
      <w:hyperlink r:id="rId11" w:history="1">
        <w:r>
          <w:rPr>
            <w:rFonts w:ascii="Georgia" w:hAnsi="Georgia" w:cs="Georgia"/>
            <w:color w:val="0000FF"/>
            <w:sz w:val="21"/>
            <w:szCs w:val="21"/>
            <w:u w:val="single"/>
          </w:rPr>
          <w:t>http://www.facebook.com/GreatPerformances</w:t>
        </w:r>
      </w:hyperlink>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Twitter: </w:t>
      </w:r>
      <w:hyperlink r:id="rId12" w:history="1">
        <w:r>
          <w:rPr>
            <w:rFonts w:ascii="Georgia" w:hAnsi="Georgia" w:cs="Georgia"/>
            <w:strike/>
            <w:color w:val="0000FF"/>
            <w:sz w:val="21"/>
            <w:szCs w:val="21"/>
          </w:rPr>
          <w:t>@</w:t>
        </w:r>
        <w:r>
          <w:rPr>
            <w:rFonts w:ascii="Georgia" w:hAnsi="Georgia" w:cs="Georgia"/>
            <w:color w:val="0000FF"/>
            <w:sz w:val="21"/>
            <w:szCs w:val="21"/>
          </w:rPr>
          <w:t>GPerfPBS</w:t>
        </w:r>
      </w:hyperlink>
    </w:p>
    <w:p w:rsidR="00192DE1" w:rsidRDefault="00192DE1" w:rsidP="00192DE1">
      <w:pPr>
        <w:autoSpaceDE w:val="0"/>
        <w:autoSpaceDN w:val="0"/>
        <w:adjustRightInd w:val="0"/>
        <w:rPr>
          <w:rFonts w:ascii="Georgia" w:hAnsi="Georgia" w:cs="Georgia"/>
          <w:sz w:val="21"/>
          <w:szCs w:val="21"/>
        </w:rPr>
      </w:pPr>
    </w:p>
    <w:p w:rsidR="00192DE1" w:rsidRDefault="00192DE1" w:rsidP="00192DE1">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Julie Andrews Returns as Host of</w:t>
      </w:r>
    </w:p>
    <w:p w:rsidR="00192DE1" w:rsidRDefault="00192DE1" w:rsidP="00192DE1">
      <w:pPr>
        <w:autoSpaceDE w:val="0"/>
        <w:autoSpaceDN w:val="0"/>
        <w:adjustRightInd w:val="0"/>
        <w:spacing w:line="360" w:lineRule="auto"/>
        <w:jc w:val="center"/>
        <w:rPr>
          <w:rFonts w:ascii="Georgia" w:hAnsi="Georgia" w:cs="Georgia"/>
          <w:b/>
          <w:bCs/>
          <w:sz w:val="32"/>
          <w:szCs w:val="32"/>
        </w:rPr>
      </w:pPr>
      <w:r>
        <w:rPr>
          <w:rFonts w:ascii="Georgia" w:hAnsi="Georgia" w:cs="Georgia"/>
          <w:b/>
          <w:bCs/>
          <w:i/>
          <w:iCs/>
          <w:sz w:val="32"/>
          <w:szCs w:val="32"/>
        </w:rPr>
        <w:t>From Vienna: The New Year’s Celebration 2016,</w:t>
      </w:r>
    </w:p>
    <w:p w:rsidR="00192DE1" w:rsidRDefault="00192DE1" w:rsidP="00192DE1">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Conducted by Mariss Jansons, and</w:t>
      </w:r>
    </w:p>
    <w:p w:rsidR="00192DE1" w:rsidRDefault="00192DE1" w:rsidP="00192DE1">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Featuring the Vienna Boys’ Choir,</w:t>
      </w:r>
    </w:p>
    <w:p w:rsidR="00192DE1" w:rsidRDefault="00192DE1" w:rsidP="00192DE1">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 xml:space="preserve">On THIRTEEN’s </w:t>
      </w:r>
      <w:r>
        <w:rPr>
          <w:rFonts w:ascii="Georgia" w:hAnsi="Georgia" w:cs="Georgia"/>
          <w:b/>
          <w:bCs/>
          <w:i/>
          <w:iCs/>
          <w:sz w:val="32"/>
          <w:szCs w:val="32"/>
        </w:rPr>
        <w:t>Great Performances</w:t>
      </w:r>
    </w:p>
    <w:p w:rsidR="00192DE1" w:rsidRDefault="00192DE1" w:rsidP="00192DE1">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Friday, January 1 at 2:30 and 7:30 p.m. ET on PBS</w:t>
      </w:r>
    </w:p>
    <w:p w:rsidR="00192DE1" w:rsidRDefault="00192DE1" w:rsidP="00192DE1">
      <w:pPr>
        <w:autoSpaceDE w:val="0"/>
        <w:autoSpaceDN w:val="0"/>
        <w:adjustRightInd w:val="0"/>
        <w:rPr>
          <w:rFonts w:ascii="Georgia" w:hAnsi="Georgia" w:cs="Georgia"/>
          <w:sz w:val="22"/>
          <w:szCs w:val="22"/>
        </w:rPr>
      </w:pPr>
    </w:p>
    <w:p w:rsidR="00192DE1" w:rsidRDefault="00192DE1" w:rsidP="00192DE1">
      <w:pPr>
        <w:autoSpaceDE w:val="0"/>
        <w:autoSpaceDN w:val="0"/>
        <w:adjustRightInd w:val="0"/>
        <w:jc w:val="center"/>
        <w:rPr>
          <w:rFonts w:ascii="Georgia" w:hAnsi="Georgia" w:cs="Georgia"/>
          <w:i/>
          <w:iCs/>
          <w:sz w:val="28"/>
          <w:szCs w:val="28"/>
        </w:rPr>
      </w:pPr>
      <w:r>
        <w:rPr>
          <w:rFonts w:ascii="Georgia" w:hAnsi="Georgia" w:cs="Georgia"/>
          <w:i/>
          <w:iCs/>
          <w:sz w:val="28"/>
          <w:szCs w:val="28"/>
        </w:rPr>
        <w:t>The Vienna Philharmonic and soloists of the Vienna State Ballet return for the beloved annual tradition against the joyful backdrop of the scenic city</w:t>
      </w:r>
    </w:p>
    <w:p w:rsidR="00192DE1" w:rsidRDefault="00192DE1" w:rsidP="00192DE1">
      <w:pPr>
        <w:autoSpaceDE w:val="0"/>
        <w:autoSpaceDN w:val="0"/>
        <w:adjustRightInd w:val="0"/>
        <w:spacing w:line="360" w:lineRule="auto"/>
        <w:rPr>
          <w:rFonts w:ascii="Georgia" w:hAnsi="Georgia" w:cs="Georgia"/>
          <w:sz w:val="21"/>
          <w:szCs w:val="21"/>
        </w:rPr>
      </w:pPr>
    </w:p>
    <w:p w:rsidR="00192DE1" w:rsidRDefault="00192DE1" w:rsidP="00192DE1">
      <w:pPr>
        <w:autoSpaceDE w:val="0"/>
        <w:autoSpaceDN w:val="0"/>
        <w:adjustRightInd w:val="0"/>
        <w:spacing w:line="360" w:lineRule="auto"/>
        <w:rPr>
          <w:rFonts w:ascii="Georgia" w:hAnsi="Georgia" w:cs="Georgia"/>
          <w:strike/>
          <w:sz w:val="21"/>
          <w:szCs w:val="21"/>
        </w:rPr>
      </w:pPr>
      <w:r>
        <w:rPr>
          <w:rFonts w:ascii="Georgia" w:hAnsi="Georgia" w:cs="Georgia"/>
          <w:sz w:val="21"/>
          <w:szCs w:val="21"/>
        </w:rPr>
        <w:t xml:space="preserve">Stage and screen legend </w:t>
      </w:r>
      <w:r>
        <w:rPr>
          <w:rFonts w:ascii="Georgia" w:hAnsi="Georgia" w:cs="Georgia"/>
          <w:b/>
          <w:bCs/>
          <w:sz w:val="21"/>
          <w:szCs w:val="21"/>
        </w:rPr>
        <w:t xml:space="preserve">Julie Andrews </w:t>
      </w:r>
      <w:r>
        <w:rPr>
          <w:rFonts w:ascii="Georgia" w:hAnsi="Georgia" w:cs="Georgia"/>
          <w:sz w:val="21"/>
          <w:szCs w:val="21"/>
        </w:rPr>
        <w:t xml:space="preserve">returns for the seventh time to host the festive annual New Year’s celebration with the Vienna Philharmonic, under the direction of </w:t>
      </w:r>
      <w:r>
        <w:rPr>
          <w:rFonts w:ascii="Georgia" w:hAnsi="Georgia" w:cs="Georgia"/>
          <w:b/>
          <w:bCs/>
          <w:sz w:val="21"/>
          <w:szCs w:val="21"/>
        </w:rPr>
        <w:t xml:space="preserve">Mariss Jansons, </w:t>
      </w:r>
      <w:r>
        <w:rPr>
          <w:rFonts w:ascii="Georgia" w:hAnsi="Georgia" w:cs="Georgia"/>
          <w:sz w:val="21"/>
          <w:szCs w:val="21"/>
          <w:lang w:val="en-GB"/>
        </w:rPr>
        <w:t>from Vienna’s Musikverein</w:t>
      </w:r>
      <w:r>
        <w:rPr>
          <w:rFonts w:ascii="Georgia" w:hAnsi="Georgia" w:cs="Georgia"/>
          <w:sz w:val="21"/>
          <w:szCs w:val="21"/>
        </w:rPr>
        <w:t>.</w:t>
      </w:r>
    </w:p>
    <w:p w:rsidR="00192DE1" w:rsidRDefault="00192DE1" w:rsidP="00192DE1">
      <w:pPr>
        <w:autoSpaceDE w:val="0"/>
        <w:autoSpaceDN w:val="0"/>
        <w:adjustRightInd w:val="0"/>
        <w:spacing w:line="360" w:lineRule="auto"/>
        <w:rPr>
          <w:rFonts w:ascii="Georgia" w:hAnsi="Georgia" w:cs="Georgia"/>
          <w:sz w:val="21"/>
          <w:szCs w:val="21"/>
        </w:rPr>
      </w:pPr>
      <w:r>
        <w:rPr>
          <w:rFonts w:ascii="Georgia" w:hAnsi="Georgia" w:cs="Georgia"/>
          <w:sz w:val="21"/>
          <w:szCs w:val="21"/>
        </w:rPr>
        <w:tab/>
      </w:r>
      <w:r>
        <w:rPr>
          <w:rFonts w:ascii="Georgia" w:hAnsi="Georgia" w:cs="Georgia"/>
          <w:b/>
          <w:bCs/>
          <w:i/>
          <w:iCs/>
          <w:sz w:val="21"/>
          <w:szCs w:val="21"/>
        </w:rPr>
        <w:t>From Vienna: The New Year’s Celebration 2016</w:t>
      </w:r>
      <w:r>
        <w:rPr>
          <w:rFonts w:ascii="Georgia" w:hAnsi="Georgia" w:cs="Georgia"/>
          <w:sz w:val="21"/>
          <w:szCs w:val="21"/>
        </w:rPr>
        <w:t xml:space="preserve">, featuring the infectious melodies of the Strauss Family and their contemporaries, airs on </w:t>
      </w:r>
      <w:r>
        <w:rPr>
          <w:rFonts w:ascii="Georgia" w:hAnsi="Georgia" w:cs="Georgia"/>
          <w:b/>
          <w:bCs/>
          <w:i/>
          <w:iCs/>
          <w:sz w:val="21"/>
          <w:szCs w:val="21"/>
        </w:rPr>
        <w:t>Great Performances</w:t>
      </w:r>
      <w:r>
        <w:rPr>
          <w:rFonts w:ascii="Georgia" w:hAnsi="Georgia" w:cs="Georgia"/>
          <w:sz w:val="21"/>
          <w:szCs w:val="21"/>
        </w:rPr>
        <w:t xml:space="preserve">, </w:t>
      </w:r>
      <w:r>
        <w:rPr>
          <w:rFonts w:ascii="Georgia" w:hAnsi="Georgia" w:cs="Georgia"/>
          <w:sz w:val="21"/>
          <w:szCs w:val="21"/>
          <w:u w:val="single"/>
        </w:rPr>
        <w:t>Friday, January 1 at 2:30 p.m. ET on PBS</w:t>
      </w:r>
      <w:r>
        <w:rPr>
          <w:rFonts w:ascii="Georgia" w:hAnsi="Georgia" w:cs="Georgia"/>
          <w:sz w:val="21"/>
          <w:szCs w:val="21"/>
        </w:rPr>
        <w:t xml:space="preserve"> (check local listings) </w:t>
      </w:r>
      <w:r>
        <w:rPr>
          <w:rFonts w:ascii="Georgia" w:hAnsi="Georgia" w:cs="Georgia"/>
          <w:sz w:val="21"/>
          <w:szCs w:val="21"/>
          <w:u w:val="single"/>
        </w:rPr>
        <w:t>with an encore performance that evening at 7:30 p.m.</w:t>
      </w:r>
      <w:r>
        <w:rPr>
          <w:rFonts w:ascii="Georgia" w:hAnsi="Georgia" w:cs="Georgia"/>
          <w:sz w:val="21"/>
          <w:szCs w:val="21"/>
        </w:rPr>
        <w:t xml:space="preserve"> </w:t>
      </w:r>
    </w:p>
    <w:p w:rsidR="00192DE1" w:rsidRDefault="00192DE1" w:rsidP="00192DE1">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Maestro Jansons is returning for the third time to conduct the ever-popular concert</w:t>
      </w:r>
      <w:r>
        <w:rPr>
          <w:color w:val="000000"/>
        </w:rPr>
        <w:t xml:space="preserve">. The </w:t>
      </w:r>
      <w:r>
        <w:rPr>
          <w:b/>
          <w:bCs/>
          <w:color w:val="000000"/>
        </w:rPr>
        <w:t>Vienna Boys’ Choir</w:t>
      </w:r>
      <w:r>
        <w:rPr>
          <w:color w:val="000000"/>
        </w:rPr>
        <w:t xml:space="preserve"> and soloists of the </w:t>
      </w:r>
      <w:r>
        <w:rPr>
          <w:b/>
          <w:bCs/>
          <w:color w:val="000000"/>
        </w:rPr>
        <w:t>Vienna State Ballet</w:t>
      </w:r>
      <w:r>
        <w:rPr>
          <w:color w:val="000000"/>
        </w:rPr>
        <w:t xml:space="preserve"> also return for the gala evening.</w:t>
      </w:r>
    </w:p>
    <w:p w:rsidR="00192DE1" w:rsidRDefault="00192DE1" w:rsidP="00192DE1">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lang w:val="en"/>
        </w:rPr>
        <w:t xml:space="preserve">This is the largest worldwide event in classical music reaching millions of people annually through radio and television in over 80 countries. </w:t>
      </w:r>
      <w:r>
        <w:rPr>
          <w:rFonts w:ascii="Georgia" w:hAnsi="Georgia" w:cs="Georgia"/>
          <w:sz w:val="21"/>
          <w:szCs w:val="21"/>
          <w:lang w:val="en-GB"/>
        </w:rPr>
        <w:t>The Vienna Philharmonic’s traditional New Year’s program has showcased Viennese musical culture at the highest level, and since the first television broadcast in 1959, sent the world a New Year's greeting in the spirit of hope, friendship and peace. (The telecast marks the 32</w:t>
      </w:r>
      <w:r>
        <w:rPr>
          <w:rFonts w:ascii="Georgia" w:hAnsi="Georgia" w:cs="Georgia"/>
          <w:sz w:val="21"/>
          <w:szCs w:val="21"/>
          <w:vertAlign w:val="superscript"/>
          <w:lang w:val="en-GB"/>
        </w:rPr>
        <w:t>nd</w:t>
      </w:r>
      <w:r>
        <w:rPr>
          <w:rFonts w:ascii="Georgia" w:hAnsi="Georgia" w:cs="Georgia"/>
          <w:sz w:val="21"/>
          <w:szCs w:val="21"/>
          <w:lang w:val="en-GB"/>
        </w:rPr>
        <w:t xml:space="preserve">   broadcast of the event on PBS.)</w:t>
      </w:r>
    </w:p>
    <w:p w:rsidR="00192DE1" w:rsidRDefault="00192DE1" w:rsidP="00192DE1">
      <w:pPr>
        <w:autoSpaceDE w:val="0"/>
        <w:autoSpaceDN w:val="0"/>
        <w:adjustRightInd w:val="0"/>
        <w:spacing w:line="360" w:lineRule="auto"/>
        <w:ind w:firstLine="720"/>
        <w:rPr>
          <w:rFonts w:ascii="Georgia" w:hAnsi="Georgia" w:cs="Georgia"/>
          <w:sz w:val="21"/>
          <w:szCs w:val="21"/>
        </w:rPr>
      </w:pPr>
      <w:r>
        <w:rPr>
          <w:rFonts w:ascii="Georgia" w:hAnsi="Georgia" w:cs="Georgia"/>
          <w:color w:val="000000"/>
          <w:sz w:val="21"/>
          <w:szCs w:val="21"/>
        </w:rPr>
        <w:t xml:space="preserve">Julie Andrews’ role as host of these New Year’s broadcasts </w:t>
      </w:r>
      <w:r>
        <w:rPr>
          <w:rFonts w:ascii="Georgia" w:hAnsi="Georgia" w:cs="Georgia"/>
          <w:sz w:val="21"/>
          <w:szCs w:val="21"/>
        </w:rPr>
        <w:t>continues to be a cherished tradition for viewers and the beloved singer, actress, and author herself: “Vienna is a magical city…rich in culture and history. The glorious music it has brought to the world is a gift. I look forward to hosting another New Year’s celebration and sharing some of the incredible sights and sounds that are uniquely Vienna.”</w:t>
      </w:r>
    </w:p>
    <w:p w:rsidR="00192DE1" w:rsidRDefault="00192DE1" w:rsidP="00192DE1">
      <w:pPr>
        <w:autoSpaceDE w:val="0"/>
        <w:autoSpaceDN w:val="0"/>
        <w:adjustRightInd w:val="0"/>
        <w:spacing w:line="360" w:lineRule="auto"/>
        <w:ind w:firstLine="720"/>
        <w:rPr>
          <w:rFonts w:ascii="Georgia" w:hAnsi="Georgia" w:cs="Georgia"/>
          <w:sz w:val="21"/>
          <w:szCs w:val="21"/>
        </w:rPr>
      </w:pPr>
      <w:r>
        <w:rPr>
          <w:rFonts w:ascii="Georgia" w:hAnsi="Georgia" w:cs="Georgia"/>
          <w:kern w:val="16"/>
          <w:sz w:val="21"/>
          <w:szCs w:val="21"/>
          <w:lang w:val="en-GB"/>
        </w:rPr>
        <w:t xml:space="preserve">As is customary with these broadcasts, Ms. Andrews will travel from her home base in the Musikverein hall itself to visit multiple picturesque Vienna landmarks, including </w:t>
      </w:r>
      <w:r>
        <w:rPr>
          <w:color w:val="000000"/>
        </w:rPr>
        <w:t xml:space="preserve">The Imperial Summer Palace of </w:t>
      </w:r>
      <w:r>
        <w:rPr>
          <w:rFonts w:ascii="Georgia" w:hAnsi="Georgia" w:cs="Georgia"/>
          <w:kern w:val="16"/>
          <w:sz w:val="21"/>
          <w:szCs w:val="21"/>
          <w:lang w:val="en-GB"/>
        </w:rPr>
        <w:t>Schönbrunn, and The Kaiserloge in the Royal Enclosure at Austria’s Freudenau racetrack; The Winter Riding School in the Hofburg; the Imperial Carriage Museum; Vienna’s first public park, The Volksgarten; and the Volksgarten Club Disco (once Petro Corti’s Kaffeehaus where the Strausses performed); and the historic Tirolerhof farmhouse.</w:t>
      </w:r>
    </w:p>
    <w:p w:rsidR="00192DE1" w:rsidRDefault="00192DE1" w:rsidP="00192DE1">
      <w:pPr>
        <w:autoSpaceDE w:val="0"/>
        <w:autoSpaceDN w:val="0"/>
        <w:adjustRightInd w:val="0"/>
        <w:spacing w:line="360" w:lineRule="auto"/>
        <w:ind w:firstLine="720"/>
        <w:rPr>
          <w:rFonts w:ascii="Georgia" w:hAnsi="Georgia" w:cs="Georgia"/>
          <w:color w:val="000000"/>
          <w:sz w:val="21"/>
          <w:szCs w:val="21"/>
        </w:rPr>
      </w:pPr>
      <w:r>
        <w:rPr>
          <w:rFonts w:ascii="Georgia" w:hAnsi="Georgia" w:cs="Georgia"/>
          <w:color w:val="000000"/>
          <w:sz w:val="21"/>
          <w:szCs w:val="21"/>
        </w:rPr>
        <w:t>The musical program is as follows:</w:t>
      </w:r>
    </w:p>
    <w:p w:rsidR="00192DE1" w:rsidRDefault="00192DE1" w:rsidP="00192DE1">
      <w:pPr>
        <w:autoSpaceDE w:val="0"/>
        <w:autoSpaceDN w:val="0"/>
        <w:adjustRightInd w:val="0"/>
        <w:rPr>
          <w:rFonts w:ascii="Georgia" w:hAnsi="Georgia" w:cs="Georgia"/>
          <w:sz w:val="20"/>
          <w:szCs w:val="20"/>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“A Night in Venice” Overture</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Eduard Strauss</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Out of Control, Quick Polka</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Josef Strauss</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Music of the Spheres, Waltz</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Singers Joy, French Polka (with Vienna Boys’ Choir)</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Josef Strauss</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On Holiday, Quick Polka (with Vienna Boys’ Choir)</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“Princess Ninetta” – Entr’acte between Acts 2 and 3</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260" w:firstLine="720"/>
        <w:rPr>
          <w:rFonts w:ascii="Georgia" w:hAnsi="Georgia" w:cs="Georgia"/>
          <w:kern w:val="16"/>
          <w:sz w:val="21"/>
          <w:szCs w:val="21"/>
        </w:rPr>
      </w:pPr>
      <w:r>
        <w:rPr>
          <w:rFonts w:ascii="Georgia" w:hAnsi="Georgia" w:cs="Georgia"/>
          <w:kern w:val="16"/>
          <w:sz w:val="21"/>
          <w:szCs w:val="21"/>
        </w:rPr>
        <w:t>Emil Waldteufel</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España, Waltz (after Chabrier)</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 Sr.</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Sighs Galop</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Josef Strauss</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The Dragonfly, Polka Mazur</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Emperor Waltz</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On the Hunt, Quick Polka</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Double-time! Quick Polka</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On the Beautiful Blue Danube, Waltz</w:t>
      </w:r>
    </w:p>
    <w:p w:rsidR="00192DE1" w:rsidRDefault="00192DE1"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 Sr.</w:t>
      </w:r>
    </w:p>
    <w:p w:rsidR="00192DE1" w:rsidRDefault="00192DE1"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Radetsky March</w:t>
      </w:r>
    </w:p>
    <w:p w:rsidR="00192DE1" w:rsidRDefault="00192DE1" w:rsidP="00192DE1">
      <w:pPr>
        <w:autoSpaceDE w:val="0"/>
        <w:autoSpaceDN w:val="0"/>
        <w:adjustRightInd w:val="0"/>
        <w:spacing w:line="360" w:lineRule="auto"/>
        <w:ind w:firstLine="720"/>
        <w:rPr>
          <w:rFonts w:ascii="Georgia" w:hAnsi="Georgia" w:cs="Georgia"/>
          <w:sz w:val="21"/>
          <w:szCs w:val="21"/>
        </w:rPr>
      </w:pPr>
    </w:p>
    <w:p w:rsidR="00192DE1" w:rsidRDefault="00192DE1" w:rsidP="00192DE1">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Andrews has been a frequent and luminous presence on </w:t>
      </w:r>
      <w:r>
        <w:rPr>
          <w:rFonts w:ascii="Georgia" w:hAnsi="Georgia" w:cs="Georgia"/>
          <w:b/>
          <w:bCs/>
          <w:i/>
          <w:iCs/>
          <w:sz w:val="21"/>
          <w:szCs w:val="21"/>
        </w:rPr>
        <w:t>Great Performances</w:t>
      </w:r>
      <w:r>
        <w:rPr>
          <w:rFonts w:ascii="Georgia" w:hAnsi="Georgia" w:cs="Georgia"/>
          <w:sz w:val="21"/>
          <w:szCs w:val="21"/>
        </w:rPr>
        <w:t xml:space="preserve">, starting with “An Evening with Alan Jay Lerner” (1989); “Julie Andrews in Concert” (1990); “Some Enchanted Evening: Celebrating Oscar Hammerstein II” (1995); “Back on Broadway” which spotlighted her return to the Great White Way in “Victor/Victoria” (1995); “Hey, Mr. Producer! The Musical World of Cameron Mackintosh” (1998); “My Favorite Broadway: The Leading Ladies” (1999); its follow-up “My Favorite Broadway: The Love Songs” (2001); and the restoration of the classic 1957 “Rodgers &amp; Hammerstein’s Cinderella” (2004). She also hosted the Emmy Award-winning series </w:t>
      </w:r>
      <w:r>
        <w:rPr>
          <w:rFonts w:ascii="Georgia" w:hAnsi="Georgia" w:cs="Georgia"/>
          <w:i/>
          <w:iCs/>
          <w:sz w:val="21"/>
          <w:szCs w:val="21"/>
        </w:rPr>
        <w:t>Broadway: The American Musical</w:t>
      </w:r>
      <w:r>
        <w:rPr>
          <w:rFonts w:ascii="Georgia" w:hAnsi="Georgia" w:cs="Georgia"/>
          <w:sz w:val="21"/>
          <w:szCs w:val="21"/>
        </w:rPr>
        <w:t xml:space="preserve"> in 2004. Andrews was recently featured in the “Great Performances’ 40</w:t>
      </w:r>
      <w:r>
        <w:rPr>
          <w:rFonts w:ascii="Georgia" w:hAnsi="Georgia" w:cs="Georgia"/>
          <w:sz w:val="21"/>
          <w:szCs w:val="21"/>
          <w:vertAlign w:val="superscript"/>
        </w:rPr>
        <w:t>th</w:t>
      </w:r>
      <w:r>
        <w:rPr>
          <w:rFonts w:ascii="Georgia" w:hAnsi="Georgia" w:cs="Georgia"/>
          <w:sz w:val="21"/>
          <w:szCs w:val="21"/>
        </w:rPr>
        <w:t xml:space="preserve"> Anniversary Celebration</w:t>
      </w:r>
      <w:r>
        <w:rPr>
          <w:rFonts w:ascii="Georgia" w:hAnsi="Georgia" w:cs="Georgia"/>
          <w:b/>
          <w:bCs/>
          <w:sz w:val="21"/>
          <w:szCs w:val="21"/>
        </w:rPr>
        <w:t xml:space="preserve">” </w:t>
      </w:r>
      <w:r>
        <w:rPr>
          <w:rFonts w:ascii="Georgia" w:hAnsi="Georgia" w:cs="Georgia"/>
          <w:sz w:val="21"/>
          <w:szCs w:val="21"/>
        </w:rPr>
        <w:t xml:space="preserve">(2013).  </w:t>
      </w:r>
    </w:p>
    <w:p w:rsidR="00192DE1" w:rsidRDefault="00192DE1" w:rsidP="00192DE1">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Mariss Jansons has been the chief conductor of the Chor und Symphonieorchester des Bayerischen Rundfunks since 2003. In 2004 he became the chief conductor of the Koninklijk Concertgebouworkest in Amsterdam, as well. He has collaborated with all the major orchestras of the world. </w:t>
      </w:r>
    </w:p>
    <w:p w:rsidR="00192DE1" w:rsidRDefault="00192DE1" w:rsidP="00192DE1">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Jansons has conducted the Vienna and Berlin Philharmonic Orchestras regularly in Vienna and Berlin as well as on tour throughout Europe, the United States and Japan. Jansons’ discography comprises recordings for many of the major labels, and he has been awarded numerous international prizes. In 2006, Jansons conducted the New Year’s concert for the first time. The ensuing CD recording reached double platinum and the DVD gold status. In 2012, Mariss Jansons returned, and, once again, the DVD and CD releases reached platinum and double platinum respectively. </w:t>
      </w:r>
    </w:p>
    <w:p w:rsidR="00192DE1" w:rsidRDefault="00192DE1" w:rsidP="00192DE1">
      <w:pPr>
        <w:autoSpaceDE w:val="0"/>
        <w:autoSpaceDN w:val="0"/>
        <w:adjustRightInd w:val="0"/>
        <w:spacing w:line="360" w:lineRule="auto"/>
        <w:ind w:firstLine="720"/>
        <w:rPr>
          <w:rFonts w:ascii="Georgia" w:hAnsi="Georgia" w:cs="Georgia"/>
          <w:color w:val="000000"/>
          <w:sz w:val="21"/>
          <w:szCs w:val="21"/>
        </w:rPr>
      </w:pPr>
      <w:r>
        <w:rPr>
          <w:rFonts w:ascii="Georgia" w:hAnsi="Georgia" w:cs="Georgia"/>
          <w:color w:val="000000"/>
          <w:sz w:val="21"/>
          <w:szCs w:val="21"/>
        </w:rPr>
        <w:t xml:space="preserve">The Vienna State Ballet is choreographed by </w:t>
      </w:r>
      <w:r>
        <w:rPr>
          <w:rFonts w:ascii="Georgia" w:hAnsi="Georgia" w:cs="Georgia"/>
          <w:sz w:val="21"/>
          <w:szCs w:val="21"/>
        </w:rPr>
        <w:t>Jiri Bubenicek</w:t>
      </w:r>
      <w:r>
        <w:rPr>
          <w:rFonts w:ascii="Georgia" w:hAnsi="Georgia" w:cs="Georgia"/>
          <w:color w:val="000000"/>
          <w:sz w:val="21"/>
          <w:szCs w:val="21"/>
        </w:rPr>
        <w:t xml:space="preserve">. It provides the ensembles at both the Vienna State Opera and the Vienna Volksoper. </w:t>
      </w:r>
    </w:p>
    <w:p w:rsidR="00192DE1" w:rsidRDefault="00192DE1" w:rsidP="00192DE1">
      <w:pPr>
        <w:autoSpaceDE w:val="0"/>
        <w:autoSpaceDN w:val="0"/>
        <w:adjustRightInd w:val="0"/>
        <w:spacing w:line="360" w:lineRule="auto"/>
        <w:ind w:firstLine="720"/>
        <w:rPr>
          <w:rFonts w:ascii="Georgia" w:hAnsi="Georgia" w:cs="Georgia"/>
          <w:color w:val="000000"/>
          <w:sz w:val="21"/>
          <w:szCs w:val="21"/>
        </w:rPr>
      </w:pPr>
      <w:r>
        <w:rPr>
          <w:rFonts w:ascii="Georgia" w:hAnsi="Georgia" w:cs="Georgia"/>
          <w:b/>
          <w:bCs/>
          <w:i/>
          <w:iCs/>
          <w:sz w:val="21"/>
          <w:szCs w:val="21"/>
        </w:rPr>
        <w:t>Great Performances</w:t>
      </w:r>
      <w:r>
        <w:rPr>
          <w:rFonts w:ascii="Georgia" w:hAnsi="Georgia" w:cs="Georgia"/>
          <w:sz w:val="21"/>
          <w:szCs w:val="21"/>
        </w:rPr>
        <w:t xml:space="preserve"> is funded by the Irene Diamond Fund, the </w:t>
      </w:r>
      <w:r>
        <w:rPr>
          <w:rFonts w:ascii="Georgia" w:hAnsi="Georgia" w:cs="Georgia"/>
          <w:color w:val="000000"/>
          <w:sz w:val="21"/>
          <w:szCs w:val="21"/>
        </w:rPr>
        <w:t xml:space="preserve">Anna-Maria and Stephen Kellen Arts Fund, The Joseph &amp; Robert Cornell Memorial Foundation, </w:t>
      </w:r>
      <w:r>
        <w:rPr>
          <w:rFonts w:ascii="Georgia" w:hAnsi="Georgia" w:cs="Georgia"/>
          <w:sz w:val="21"/>
          <w:szCs w:val="21"/>
        </w:rPr>
        <w:t xml:space="preserve">The LuEsther T. Mertz Charitable Trust, </w:t>
      </w:r>
      <w:r>
        <w:rPr>
          <w:rFonts w:ascii="Georgia" w:hAnsi="Georgia" w:cs="Georgia"/>
          <w:color w:val="000000"/>
          <w:sz w:val="21"/>
          <w:szCs w:val="21"/>
        </w:rPr>
        <w:t>Rosalind P. Walter, The Agnes Varis Trust</w:t>
      </w:r>
      <w:r>
        <w:rPr>
          <w:rFonts w:ascii="Georgia" w:hAnsi="Georgia" w:cs="Georgia"/>
          <w:sz w:val="21"/>
          <w:szCs w:val="21"/>
        </w:rPr>
        <w:t xml:space="preserve">, </w:t>
      </w:r>
      <w:r>
        <w:rPr>
          <w:rFonts w:ascii="Georgia" w:hAnsi="Georgia" w:cs="Georgia"/>
          <w:color w:val="000000"/>
          <w:sz w:val="21"/>
          <w:szCs w:val="21"/>
        </w:rPr>
        <w:t xml:space="preserve">The Starr Foundation, the Kate W. Cassidy Foundation, </w:t>
      </w:r>
      <w:r w:rsidR="00BE2A10">
        <w:rPr>
          <w:rFonts w:ascii="Georgia" w:hAnsi="Georgia" w:cs="Georgia"/>
          <w:color w:val="000000"/>
          <w:sz w:val="21"/>
          <w:szCs w:val="21"/>
        </w:rPr>
        <w:t xml:space="preserve">Ellen and James S. Marcus, </w:t>
      </w:r>
      <w:r w:rsidR="00BE2A10">
        <w:rPr>
          <w:rFonts w:ascii="Georgia" w:hAnsi="Georgia" w:cs="Georgia"/>
          <w:color w:val="000000"/>
          <w:sz w:val="21"/>
          <w:szCs w:val="21"/>
        </w:rPr>
        <w:t>the Phil</w:t>
      </w:r>
      <w:r w:rsidR="00BE2A10">
        <w:rPr>
          <w:rFonts w:ascii="Georgia" w:hAnsi="Georgia" w:cs="Georgia"/>
          <w:color w:val="000000"/>
          <w:sz w:val="21"/>
          <w:szCs w:val="21"/>
        </w:rPr>
        <w:t xml:space="preserve">ip and Janice Levin Foundation, </w:t>
      </w:r>
      <w:r>
        <w:rPr>
          <w:rFonts w:ascii="Georgia" w:hAnsi="Georgia" w:cs="Georgia"/>
          <w:color w:val="000000"/>
          <w:sz w:val="21"/>
          <w:szCs w:val="21"/>
        </w:rPr>
        <w:t xml:space="preserve">the Lenore Hecht Foundation, and PBS. </w:t>
      </w:r>
      <w:r>
        <w:rPr>
          <w:rFonts w:ascii="Georgia" w:hAnsi="Georgia" w:cs="Georgia"/>
          <w:sz w:val="21"/>
          <w:szCs w:val="21"/>
        </w:rPr>
        <w:t xml:space="preserve"> </w:t>
      </w:r>
      <w:r>
        <w:rPr>
          <w:rFonts w:ascii="Georgia" w:hAnsi="Georgia" w:cs="Georgia"/>
          <w:color w:val="000000"/>
          <w:sz w:val="21"/>
          <w:szCs w:val="21"/>
        </w:rPr>
        <w:t>Exclusive corporate support for the concert is provided by Rolex.</w:t>
      </w:r>
    </w:p>
    <w:p w:rsidR="00192DE1" w:rsidRDefault="00192DE1" w:rsidP="00192DE1">
      <w:pPr>
        <w:widowControl w:val="0"/>
        <w:autoSpaceDE w:val="0"/>
        <w:autoSpaceDN w:val="0"/>
        <w:adjustRightInd w:val="0"/>
        <w:spacing w:line="360" w:lineRule="auto"/>
        <w:ind w:firstLine="720"/>
        <w:rPr>
          <w:rFonts w:ascii="Georgia" w:hAnsi="Georgia" w:cs="Georgia"/>
          <w:sz w:val="21"/>
          <w:szCs w:val="21"/>
        </w:rPr>
      </w:pPr>
      <w:r>
        <w:rPr>
          <w:rFonts w:ascii="Georgia" w:hAnsi="Georgia" w:cs="Georgia"/>
          <w:b/>
          <w:bCs/>
          <w:i/>
          <w:iCs/>
          <w:sz w:val="21"/>
          <w:szCs w:val="21"/>
        </w:rPr>
        <w:t xml:space="preserve">From Vienna: The New Year’s Celebration 2016 </w:t>
      </w:r>
      <w:r>
        <w:rPr>
          <w:rFonts w:ascii="Georgia" w:hAnsi="Georgia" w:cs="Georgia"/>
          <w:sz w:val="21"/>
          <w:szCs w:val="21"/>
        </w:rPr>
        <w:t xml:space="preserve">is produced by </w:t>
      </w:r>
      <w:r>
        <w:rPr>
          <w:rFonts w:ascii="Georgia" w:hAnsi="Georgia" w:cs="Georgia"/>
          <w:color w:val="000000"/>
        </w:rPr>
        <w:t>Karin Veitl</w:t>
      </w:r>
      <w:r>
        <w:rPr>
          <w:rFonts w:ascii="Georgia" w:hAnsi="Georgia" w:cs="Georgia"/>
          <w:sz w:val="21"/>
          <w:szCs w:val="21"/>
        </w:rPr>
        <w:t xml:space="preserve">, and directed by Michael Beyer, with John Walker as producer/writer. For </w:t>
      </w:r>
      <w:r>
        <w:rPr>
          <w:rFonts w:ascii="Georgia" w:hAnsi="Georgia" w:cs="Georgia"/>
          <w:b/>
          <w:bCs/>
          <w:i/>
          <w:iCs/>
          <w:sz w:val="21"/>
          <w:szCs w:val="21"/>
        </w:rPr>
        <w:t>Great Performances</w:t>
      </w:r>
      <w:r>
        <w:rPr>
          <w:rFonts w:ascii="Georgia" w:hAnsi="Georgia" w:cs="Georgia"/>
          <w:sz w:val="21"/>
          <w:szCs w:val="21"/>
        </w:rPr>
        <w:t xml:space="preserve">, John Walker and Richard R. Schilling are producers; Bill O’Donnell is series producer; David Horn is executive producer. </w:t>
      </w:r>
    </w:p>
    <w:p w:rsidR="00192DE1" w:rsidRDefault="00192DE1" w:rsidP="00192DE1">
      <w:pPr>
        <w:widowControl w:val="0"/>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Visit </w:t>
      </w:r>
      <w:r>
        <w:rPr>
          <w:rFonts w:ascii="Georgia" w:hAnsi="Georgia" w:cs="Georgia"/>
          <w:b/>
          <w:bCs/>
          <w:i/>
          <w:iCs/>
          <w:sz w:val="21"/>
          <w:szCs w:val="21"/>
        </w:rPr>
        <w:t>Great Performances Online</w:t>
      </w:r>
      <w:r>
        <w:rPr>
          <w:rFonts w:ascii="Georgia" w:hAnsi="Georgia" w:cs="Georgia"/>
          <w:sz w:val="21"/>
          <w:szCs w:val="21"/>
        </w:rPr>
        <w:t xml:space="preserve"> at </w:t>
      </w:r>
      <w:hyperlink r:id="rId13" w:history="1">
        <w:r>
          <w:rPr>
            <w:rFonts w:ascii="Georgia" w:hAnsi="Georgia" w:cs="Georgia"/>
            <w:color w:val="0000FF"/>
            <w:sz w:val="21"/>
            <w:szCs w:val="21"/>
            <w:u w:val="single"/>
          </w:rPr>
          <w:t>www.pbs.org/gperf</w:t>
        </w:r>
      </w:hyperlink>
      <w:r>
        <w:rPr>
          <w:rFonts w:ascii="Georgia" w:hAnsi="Georgia" w:cs="Georgia"/>
          <w:sz w:val="21"/>
          <w:szCs w:val="21"/>
        </w:rPr>
        <w:t xml:space="preserve"> for additional information about this and other programs. </w:t>
      </w:r>
    </w:p>
    <w:p w:rsidR="00192DE1" w:rsidRDefault="00192DE1" w:rsidP="00192DE1">
      <w:pPr>
        <w:widowControl w:val="0"/>
        <w:autoSpaceDE w:val="0"/>
        <w:autoSpaceDN w:val="0"/>
        <w:adjustRightInd w:val="0"/>
        <w:spacing w:line="360" w:lineRule="auto"/>
        <w:ind w:firstLine="720"/>
        <w:jc w:val="center"/>
        <w:rPr>
          <w:rFonts w:ascii="Georgia" w:hAnsi="Georgia" w:cs="Georgia"/>
        </w:rPr>
      </w:pPr>
      <w:r>
        <w:rPr>
          <w:rFonts w:ascii="Georgia" w:hAnsi="Georgia" w:cs="Georgia"/>
        </w:rPr>
        <w:t>###</w:t>
      </w:r>
    </w:p>
    <w:p w:rsidR="00192DE1" w:rsidRDefault="00192DE1" w:rsidP="00192DE1">
      <w:pPr>
        <w:autoSpaceDE w:val="0"/>
        <w:autoSpaceDN w:val="0"/>
        <w:adjustRightInd w:val="0"/>
        <w:rPr>
          <w:rFonts w:ascii="Georgia" w:hAnsi="Georgia" w:cs="Georgia"/>
          <w:sz w:val="20"/>
          <w:szCs w:val="20"/>
        </w:rPr>
      </w:pPr>
    </w:p>
    <w:p w:rsidR="00192DE1" w:rsidRDefault="00192DE1" w:rsidP="00192DE1">
      <w:pPr>
        <w:autoSpaceDE w:val="0"/>
        <w:autoSpaceDN w:val="0"/>
        <w:adjustRightInd w:val="0"/>
        <w:rPr>
          <w:rFonts w:ascii="Georgia" w:hAnsi="Georgia" w:cs="Georgia"/>
          <w:b/>
          <w:bCs/>
          <w:sz w:val="20"/>
          <w:szCs w:val="20"/>
        </w:rPr>
      </w:pPr>
      <w:r>
        <w:rPr>
          <w:rFonts w:ascii="Georgia" w:hAnsi="Georgia" w:cs="Georgia"/>
          <w:b/>
          <w:bCs/>
          <w:sz w:val="20"/>
          <w:szCs w:val="20"/>
        </w:rPr>
        <w:t xml:space="preserve">About WNET </w:t>
      </w:r>
    </w:p>
    <w:p w:rsidR="00192DE1" w:rsidRDefault="00192DE1" w:rsidP="00192DE1">
      <w:pPr>
        <w:autoSpaceDE w:val="0"/>
        <w:autoSpaceDN w:val="0"/>
        <w:adjustRightInd w:val="0"/>
        <w:rPr>
          <w:rFonts w:ascii="Verdana" w:hAnsi="Verdana" w:cs="Verdana"/>
        </w:rPr>
      </w:pPr>
      <w:r>
        <w:rPr>
          <w:rFonts w:ascii="Georgia" w:hAnsi="Georgia" w:cs="Georgia"/>
          <w:color w:val="000000"/>
          <w:sz w:val="20"/>
          <w:szCs w:val="20"/>
        </w:rPr>
        <w:br/>
        <w:t xml:space="preserve">As New York’s flagship public media provider and the parent company of </w:t>
      </w:r>
      <w:hyperlink r:id="rId14" w:history="1">
        <w:r>
          <w:rPr>
            <w:rFonts w:ascii="Georgia" w:hAnsi="Georgia" w:cs="Georgia"/>
            <w:color w:val="000000"/>
            <w:sz w:val="20"/>
            <w:szCs w:val="20"/>
            <w:u w:val="single"/>
          </w:rPr>
          <w:t>THIRTEEN</w:t>
        </w:r>
      </w:hyperlink>
      <w:r>
        <w:rPr>
          <w:rFonts w:ascii="Georgia" w:hAnsi="Georgia" w:cs="Georgia"/>
          <w:sz w:val="20"/>
          <w:szCs w:val="20"/>
        </w:rPr>
        <w:t xml:space="preserve"> and </w:t>
      </w:r>
      <w:hyperlink r:id="rId15" w:history="1">
        <w:r>
          <w:rPr>
            <w:rFonts w:ascii="Georgia" w:hAnsi="Georgia" w:cs="Georgia"/>
            <w:color w:val="000000"/>
            <w:sz w:val="20"/>
            <w:szCs w:val="20"/>
            <w:u w:val="single"/>
          </w:rPr>
          <w:t>WLIW21</w:t>
        </w:r>
      </w:hyperlink>
      <w:r>
        <w:rPr>
          <w:rFonts w:ascii="Georgia" w:hAnsi="Georgia" w:cs="Georgia"/>
          <w:sz w:val="20"/>
          <w:szCs w:val="20"/>
        </w:rPr>
        <w:t xml:space="preserve"> and operator of </w:t>
      </w:r>
      <w:hyperlink r:id="rId16" w:history="1">
        <w:r>
          <w:rPr>
            <w:rFonts w:ascii="Georgia" w:hAnsi="Georgia" w:cs="Georgia"/>
            <w:color w:val="000000"/>
            <w:sz w:val="20"/>
            <w:szCs w:val="20"/>
            <w:u w:val="single"/>
          </w:rPr>
          <w:t>NJTV</w:t>
        </w:r>
      </w:hyperlink>
      <w:r>
        <w:rPr>
          <w:rFonts w:ascii="Georgia" w:hAnsi="Georgia" w:cs="Georgia"/>
          <w:sz w:val="20"/>
          <w:szCs w:val="20"/>
        </w:rPr>
        <w:t xml:space="preserve">, WNET brings quality arts, education and public affairs programming to over 5 million viewers each week. WNET produces and presents such acclaimed PBS series as </w:t>
      </w:r>
      <w:hyperlink r:id="rId17" w:history="1">
        <w:r>
          <w:rPr>
            <w:rFonts w:ascii="Georgia" w:hAnsi="Georgia" w:cs="Georgia"/>
            <w:color w:val="000000"/>
            <w:sz w:val="20"/>
            <w:szCs w:val="20"/>
            <w:u w:val="single"/>
          </w:rPr>
          <w:t>Nature</w:t>
        </w:r>
      </w:hyperlink>
      <w:r>
        <w:rPr>
          <w:rFonts w:ascii="Georgia" w:hAnsi="Georgia" w:cs="Georgia"/>
          <w:sz w:val="20"/>
          <w:szCs w:val="20"/>
        </w:rPr>
        <w:t xml:space="preserve">, </w:t>
      </w:r>
      <w:hyperlink r:id="rId18" w:history="1">
        <w:r>
          <w:rPr>
            <w:rFonts w:ascii="Georgia" w:hAnsi="Georgia" w:cs="Georgia"/>
            <w:color w:val="000000"/>
            <w:sz w:val="20"/>
            <w:szCs w:val="20"/>
            <w:u w:val="single"/>
          </w:rPr>
          <w:t>Great Performances</w:t>
        </w:r>
      </w:hyperlink>
      <w:r>
        <w:rPr>
          <w:rFonts w:ascii="Georgia" w:hAnsi="Georgia" w:cs="Georgia"/>
          <w:sz w:val="20"/>
          <w:szCs w:val="20"/>
        </w:rPr>
        <w:t xml:space="preserve">, </w:t>
      </w:r>
      <w:hyperlink r:id="rId19" w:history="1">
        <w:r>
          <w:rPr>
            <w:rFonts w:ascii="Georgia" w:hAnsi="Georgia" w:cs="Georgia"/>
            <w:color w:val="000000"/>
            <w:sz w:val="20"/>
            <w:szCs w:val="20"/>
            <w:u w:val="single"/>
          </w:rPr>
          <w:t>American Masters</w:t>
        </w:r>
      </w:hyperlink>
      <w:r>
        <w:rPr>
          <w:rFonts w:ascii="Georgia" w:hAnsi="Georgia" w:cs="Georgia"/>
          <w:sz w:val="20"/>
          <w:szCs w:val="20"/>
        </w:rPr>
        <w:t xml:space="preserve">, </w:t>
      </w:r>
      <w:hyperlink r:id="rId20" w:history="1">
        <w:r>
          <w:rPr>
            <w:rFonts w:ascii="Georgia" w:hAnsi="Georgia" w:cs="Georgia"/>
            <w:color w:val="000000"/>
            <w:sz w:val="20"/>
            <w:szCs w:val="20"/>
            <w:u w:val="single"/>
          </w:rPr>
          <w:t>PBS NewsHour Weekend</w:t>
        </w:r>
      </w:hyperlink>
      <w:r>
        <w:rPr>
          <w:rFonts w:ascii="Georgia" w:hAnsi="Georgia" w:cs="Georgia"/>
          <w:sz w:val="20"/>
          <w:szCs w:val="20"/>
        </w:rPr>
        <w:t xml:space="preserve">, </w:t>
      </w:r>
      <w:hyperlink r:id="rId21" w:history="1">
        <w:r>
          <w:rPr>
            <w:rFonts w:ascii="Georgia" w:hAnsi="Georgia" w:cs="Georgia"/>
            <w:color w:val="000000"/>
            <w:sz w:val="20"/>
            <w:szCs w:val="20"/>
            <w:u w:val="single"/>
          </w:rPr>
          <w:t>Charlie Rose</w:t>
        </w:r>
      </w:hyperlink>
      <w:r>
        <w:rPr>
          <w:rFonts w:ascii="Georgia" w:hAnsi="Georgia" w:cs="Georgia"/>
          <w:sz w:val="20"/>
          <w:szCs w:val="20"/>
        </w:rPr>
        <w:t xml:space="preserve"> and a range of documentaries, children’s programs, and local news and cultural offerings available on air and online. Pioneers in educational programming, WNET has created such groundbreaking series as </w:t>
      </w:r>
      <w:hyperlink r:id="rId22" w:history="1">
        <w:r>
          <w:rPr>
            <w:rFonts w:ascii="Georgia" w:hAnsi="Georgia" w:cs="Georgia"/>
            <w:color w:val="000000"/>
            <w:sz w:val="20"/>
            <w:szCs w:val="20"/>
            <w:u w:val="single"/>
          </w:rPr>
          <w:t>Get the Math</w:t>
        </w:r>
      </w:hyperlink>
      <w:r>
        <w:rPr>
          <w:rFonts w:ascii="Georgia" w:hAnsi="Georgia" w:cs="Georgia"/>
          <w:sz w:val="20"/>
          <w:szCs w:val="20"/>
        </w:rPr>
        <w:t xml:space="preserve">, </w:t>
      </w:r>
      <w:hyperlink r:id="rId23" w:history="1">
        <w:r>
          <w:rPr>
            <w:rFonts w:ascii="Georgia" w:hAnsi="Georgia" w:cs="Georgia"/>
            <w:color w:val="000000"/>
            <w:sz w:val="20"/>
            <w:szCs w:val="20"/>
            <w:u w:val="single"/>
          </w:rPr>
          <w:t>Oh Noah!</w:t>
        </w:r>
      </w:hyperlink>
      <w:r>
        <w:rPr>
          <w:rFonts w:ascii="Georgia" w:hAnsi="Georgia" w:cs="Georgia"/>
          <w:sz w:val="20"/>
          <w:szCs w:val="20"/>
        </w:rPr>
        <w:t xml:space="preserve"> and </w:t>
      </w:r>
      <w:hyperlink r:id="rId24" w:history="1">
        <w:r>
          <w:rPr>
            <w:rFonts w:ascii="Georgia" w:hAnsi="Georgia" w:cs="Georgia"/>
            <w:color w:val="000000"/>
            <w:sz w:val="20"/>
            <w:szCs w:val="20"/>
            <w:u w:val="single"/>
          </w:rPr>
          <w:t>Cyberchase</w:t>
        </w:r>
      </w:hyperlink>
      <w:r>
        <w:rPr>
          <w:rFonts w:ascii="Georgia" w:hAnsi="Georgia" w:cs="Georgia"/>
          <w:sz w:val="20"/>
          <w:szCs w:val="20"/>
        </w:rPr>
        <w:t xml:space="preserve"> and provides tools for educators that bring compelling content to life in the classroom and at home. WNET highlights the tri-state’s unique culture and diverse communities through </w:t>
      </w:r>
      <w:hyperlink r:id="rId25" w:history="1">
        <w:r>
          <w:rPr>
            <w:rFonts w:ascii="Georgia" w:hAnsi="Georgia" w:cs="Georgia"/>
            <w:color w:val="000000"/>
            <w:sz w:val="20"/>
            <w:szCs w:val="20"/>
            <w:u w:val="single"/>
          </w:rPr>
          <w:t>NYC-ARTS</w:t>
        </w:r>
      </w:hyperlink>
      <w:r>
        <w:rPr>
          <w:rFonts w:ascii="Georgia" w:hAnsi="Georgia" w:cs="Georgia"/>
          <w:sz w:val="20"/>
          <w:szCs w:val="20"/>
        </w:rPr>
        <w:t xml:space="preserve">, </w:t>
      </w:r>
      <w:hyperlink r:id="rId26" w:history="1">
        <w:r>
          <w:rPr>
            <w:rFonts w:ascii="Georgia" w:hAnsi="Georgia" w:cs="Georgia"/>
            <w:color w:val="000000"/>
            <w:sz w:val="20"/>
            <w:szCs w:val="20"/>
            <w:u w:val="single"/>
          </w:rPr>
          <w:t>Reel 13</w:t>
        </w:r>
      </w:hyperlink>
      <w:r>
        <w:rPr>
          <w:rFonts w:ascii="Georgia" w:hAnsi="Georgia" w:cs="Georgia"/>
          <w:sz w:val="20"/>
          <w:szCs w:val="20"/>
        </w:rPr>
        <w:t xml:space="preserve">, </w:t>
      </w:r>
      <w:hyperlink r:id="rId27" w:history="1">
        <w:r>
          <w:rPr>
            <w:rFonts w:ascii="Georgia" w:hAnsi="Georgia" w:cs="Georgia"/>
            <w:color w:val="000000"/>
            <w:sz w:val="20"/>
            <w:szCs w:val="20"/>
            <w:u w:val="single"/>
          </w:rPr>
          <w:t xml:space="preserve">NJTV News with </w:t>
        </w:r>
      </w:hyperlink>
      <w:r>
        <w:rPr>
          <w:rFonts w:ascii="Georgia" w:hAnsi="Georgia" w:cs="Georgia"/>
          <w:sz w:val="20"/>
          <w:szCs w:val="20"/>
        </w:rPr>
        <w:t xml:space="preserve">Mary Alice Williams and </w:t>
      </w:r>
      <w:hyperlink r:id="rId28" w:history="1">
        <w:r>
          <w:rPr>
            <w:rFonts w:ascii="Georgia" w:hAnsi="Georgia" w:cs="Georgia"/>
            <w:color w:val="000000"/>
            <w:sz w:val="20"/>
            <w:szCs w:val="20"/>
            <w:u w:val="single"/>
          </w:rPr>
          <w:t>MetroFocus</w:t>
        </w:r>
      </w:hyperlink>
      <w:r>
        <w:rPr>
          <w:rFonts w:ascii="Georgia" w:hAnsi="Georgia" w:cs="Georgia"/>
          <w:sz w:val="20"/>
          <w:szCs w:val="20"/>
        </w:rPr>
        <w:t xml:space="preserve">, the multi-platform news magazine focusing on the New York region. WNET is also a leader in connecting with viewers on emerging platforms, including the </w:t>
      </w:r>
      <w:hyperlink r:id="rId29" w:history="1">
        <w:r>
          <w:rPr>
            <w:rFonts w:ascii="Georgia" w:hAnsi="Georgia" w:cs="Georgia"/>
            <w:color w:val="000000"/>
            <w:sz w:val="20"/>
            <w:szCs w:val="20"/>
            <w:u w:val="single"/>
          </w:rPr>
          <w:t>THIRTEEN Explore App</w:t>
        </w:r>
      </w:hyperlink>
      <w:r>
        <w:rPr>
          <w:rFonts w:ascii="Georgia" w:hAnsi="Georgia" w:cs="Georgia"/>
          <w:sz w:val="20"/>
          <w:szCs w:val="20"/>
        </w:rPr>
        <w:t xml:space="preserve"> where users can stream PBS content for free.</w:t>
      </w:r>
    </w:p>
    <w:p w:rsidR="00192DE1" w:rsidRDefault="00192DE1" w:rsidP="00192DE1">
      <w:pPr>
        <w:autoSpaceDE w:val="0"/>
        <w:autoSpaceDN w:val="0"/>
        <w:adjustRightInd w:val="0"/>
        <w:rPr>
          <w:rFonts w:ascii="Georgia" w:hAnsi="Georgia" w:cs="Georgia"/>
          <w:kern w:val="16"/>
          <w:sz w:val="21"/>
          <w:szCs w:val="21"/>
        </w:rPr>
      </w:pPr>
    </w:p>
    <w:p w:rsidR="00192DE1" w:rsidRDefault="00192DE1" w:rsidP="00192DE1">
      <w:pPr>
        <w:autoSpaceDE w:val="0"/>
        <w:autoSpaceDN w:val="0"/>
        <w:adjustRightInd w:val="0"/>
        <w:spacing w:line="360" w:lineRule="auto"/>
        <w:ind w:firstLine="720"/>
        <w:rPr>
          <w:rFonts w:ascii="Georgia" w:hAnsi="Georgia" w:cs="Georgia"/>
          <w:sz w:val="21"/>
          <w:szCs w:val="21"/>
        </w:rPr>
      </w:pPr>
    </w:p>
    <w:p w:rsidR="00192DE1" w:rsidRDefault="00192DE1" w:rsidP="00192DE1">
      <w:pPr>
        <w:autoSpaceDE w:val="0"/>
        <w:autoSpaceDN w:val="0"/>
        <w:adjustRightInd w:val="0"/>
        <w:rPr>
          <w:rFonts w:ascii="Arial" w:hAnsi="Arial" w:cs="Arial"/>
          <w:sz w:val="20"/>
          <w:szCs w:val="20"/>
        </w:rPr>
      </w:pPr>
    </w:p>
    <w:p w:rsidR="00192DE1" w:rsidRDefault="00192DE1" w:rsidP="00192DE1">
      <w:pPr>
        <w:autoSpaceDE w:val="0"/>
        <w:autoSpaceDN w:val="0"/>
        <w:adjustRightInd w:val="0"/>
        <w:rPr>
          <w:rFonts w:ascii="Verdana" w:hAnsi="Verdana" w:cs="Verdana"/>
          <w:sz w:val="16"/>
          <w:szCs w:val="16"/>
        </w:rPr>
      </w:pPr>
    </w:p>
    <w:p w:rsidR="00192DE1" w:rsidRDefault="00192DE1" w:rsidP="00192DE1">
      <w:pPr>
        <w:autoSpaceDE w:val="0"/>
        <w:autoSpaceDN w:val="0"/>
        <w:adjustRightInd w:val="0"/>
        <w:rPr>
          <w:rFonts w:ascii="Verdana" w:hAnsi="Verdana" w:cs="Verdana"/>
        </w:rPr>
      </w:pPr>
    </w:p>
    <w:p w:rsidR="00192DE1" w:rsidRDefault="00192DE1" w:rsidP="00192DE1">
      <w:pPr>
        <w:autoSpaceDE w:val="0"/>
        <w:autoSpaceDN w:val="0"/>
        <w:adjustRightInd w:val="0"/>
        <w:rPr>
          <w:rFonts w:ascii="Verdana" w:hAnsi="Verdana" w:cs="Verdana"/>
        </w:rPr>
      </w:pPr>
    </w:p>
    <w:p w:rsidR="00192DE1" w:rsidRDefault="00192DE1" w:rsidP="00192DE1">
      <w:pPr>
        <w:autoSpaceDE w:val="0"/>
        <w:autoSpaceDN w:val="0"/>
        <w:adjustRightInd w:val="0"/>
        <w:rPr>
          <w:rFonts w:ascii="Verdana" w:hAnsi="Verdana" w:cs="Verdana"/>
        </w:rPr>
      </w:pPr>
    </w:p>
    <w:p w:rsidR="00192DE1" w:rsidRDefault="00192DE1" w:rsidP="00192DE1">
      <w:pPr>
        <w:autoSpaceDE w:val="0"/>
        <w:autoSpaceDN w:val="0"/>
        <w:adjustRightInd w:val="0"/>
        <w:spacing w:after="200" w:line="276" w:lineRule="auto"/>
        <w:rPr>
          <w:rFonts w:ascii="Calibri" w:hAnsi="Calibri" w:cs="Calibri"/>
          <w:sz w:val="22"/>
          <w:szCs w:val="22"/>
          <w:lang w:val="en"/>
        </w:rPr>
      </w:pPr>
    </w:p>
    <w:p w:rsidR="00192DE1" w:rsidRDefault="00192DE1" w:rsidP="00192DE1">
      <w:pPr>
        <w:autoSpaceDE w:val="0"/>
        <w:autoSpaceDN w:val="0"/>
        <w:adjustRightInd w:val="0"/>
        <w:rPr>
          <w:rFonts w:ascii="Georgia" w:hAnsi="Georgia" w:cs="Georgia"/>
        </w:rPr>
      </w:pPr>
    </w:p>
    <w:p w:rsidR="00192DE1" w:rsidRDefault="00192DE1" w:rsidP="00192DE1">
      <w:pPr>
        <w:autoSpaceDE w:val="0"/>
        <w:autoSpaceDN w:val="0"/>
        <w:adjustRightInd w:val="0"/>
        <w:spacing w:after="200" w:line="276" w:lineRule="auto"/>
        <w:rPr>
          <w:rFonts w:ascii="Calibri" w:hAnsi="Calibri" w:cs="Calibri"/>
          <w:sz w:val="22"/>
          <w:szCs w:val="22"/>
          <w:lang w:val="en"/>
        </w:rPr>
      </w:pPr>
    </w:p>
    <w:p w:rsidR="006A6302" w:rsidRPr="00192DE1" w:rsidRDefault="006A6302" w:rsidP="00192DE1"/>
    <w:sectPr w:rsidR="006A6302" w:rsidRPr="00192DE1">
      <w:headerReference w:type="default" r:id="rId30"/>
      <w:headerReference w:type="first" r:id="rId3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579" w:rsidRDefault="00316579">
      <w:r>
        <w:separator/>
      </w:r>
    </w:p>
  </w:endnote>
  <w:endnote w:type="continuationSeparator" w:id="0">
    <w:p w:rsidR="00316579" w:rsidRDefault="0031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579" w:rsidRDefault="00316579">
      <w:r>
        <w:separator/>
      </w:r>
    </w:p>
  </w:footnote>
  <w:footnote w:type="continuationSeparator" w:id="0">
    <w:p w:rsidR="00316579" w:rsidRDefault="00316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350232"/>
      <w:docPartObj>
        <w:docPartGallery w:val="Page Numbers (Top of Page)"/>
        <w:docPartUnique/>
      </w:docPartObj>
    </w:sdtPr>
    <w:sdtEndPr>
      <w:rPr>
        <w:noProof/>
      </w:rPr>
    </w:sdtEndPr>
    <w:sdtContent>
      <w:p w:rsidR="007B1724" w:rsidRDefault="007B1724">
        <w:pPr>
          <w:pStyle w:val="Header"/>
          <w:jc w:val="right"/>
        </w:pPr>
        <w:r>
          <w:fldChar w:fldCharType="begin"/>
        </w:r>
        <w:r>
          <w:instrText xml:space="preserve"> PAGE   \* MERGEFORMAT </w:instrText>
        </w:r>
        <w:r>
          <w:fldChar w:fldCharType="separate"/>
        </w:r>
        <w:r w:rsidR="00FC5F33">
          <w:rPr>
            <w:noProof/>
          </w:rPr>
          <w:t>4</w:t>
        </w:r>
        <w:r>
          <w:rPr>
            <w:noProof/>
          </w:rPr>
          <w:fldChar w:fldCharType="end"/>
        </w:r>
      </w:p>
    </w:sdtContent>
  </w:sdt>
  <w:p w:rsidR="00620D7B" w:rsidRDefault="00620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7B" w:rsidRPr="00011A8D" w:rsidRDefault="00620D7B">
    <w:pPr>
      <w:pStyle w:val="Header"/>
    </w:pPr>
    <w:r>
      <w:rPr>
        <w:noProof/>
      </w:rPr>
      <w:drawing>
        <wp:anchor distT="0" distB="0" distL="114300" distR="114300" simplePos="0" relativeHeight="251658240" behindDoc="1" locked="0" layoutInCell="1" allowOverlap="1" wp14:anchorId="3EF46640" wp14:editId="41038D7A">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40574E32" wp14:editId="705FBBF0">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20D7B" w:rsidRDefault="00620D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74E32"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620D7B" w:rsidRDefault="00620D7B"/>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2760A"/>
    <w:multiLevelType w:val="hybridMultilevel"/>
    <w:tmpl w:val="7A46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activeWritingStyle w:appName="MSWord" w:lang="en-CA" w:vendorID="6" w:dllVersion="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87"/>
    <w:rsid w:val="00004F78"/>
    <w:rsid w:val="0001643A"/>
    <w:rsid w:val="00020D3D"/>
    <w:rsid w:val="00052DE5"/>
    <w:rsid w:val="00064FB4"/>
    <w:rsid w:val="0008741A"/>
    <w:rsid w:val="000A3A90"/>
    <w:rsid w:val="000C66EA"/>
    <w:rsid w:val="000D21CF"/>
    <w:rsid w:val="000D2837"/>
    <w:rsid w:val="000D70FA"/>
    <w:rsid w:val="000F6D9A"/>
    <w:rsid w:val="00107552"/>
    <w:rsid w:val="00132BD3"/>
    <w:rsid w:val="00133EE4"/>
    <w:rsid w:val="00151B53"/>
    <w:rsid w:val="00163EB5"/>
    <w:rsid w:val="00167546"/>
    <w:rsid w:val="00192DE1"/>
    <w:rsid w:val="00193407"/>
    <w:rsid w:val="001A094D"/>
    <w:rsid w:val="001A4D69"/>
    <w:rsid w:val="001C0619"/>
    <w:rsid w:val="00201ED7"/>
    <w:rsid w:val="0020582C"/>
    <w:rsid w:val="002449F5"/>
    <w:rsid w:val="0026060C"/>
    <w:rsid w:val="002662FE"/>
    <w:rsid w:val="002A3AC6"/>
    <w:rsid w:val="002E102F"/>
    <w:rsid w:val="002F0963"/>
    <w:rsid w:val="002F56F8"/>
    <w:rsid w:val="00310F22"/>
    <w:rsid w:val="00311462"/>
    <w:rsid w:val="00311C6F"/>
    <w:rsid w:val="0031230C"/>
    <w:rsid w:val="00316579"/>
    <w:rsid w:val="003225DA"/>
    <w:rsid w:val="00322979"/>
    <w:rsid w:val="00346783"/>
    <w:rsid w:val="00356637"/>
    <w:rsid w:val="0036440F"/>
    <w:rsid w:val="003727A4"/>
    <w:rsid w:val="003824F9"/>
    <w:rsid w:val="003B01D6"/>
    <w:rsid w:val="003B06AA"/>
    <w:rsid w:val="003E5395"/>
    <w:rsid w:val="003F259C"/>
    <w:rsid w:val="004166DF"/>
    <w:rsid w:val="0042655E"/>
    <w:rsid w:val="004425EB"/>
    <w:rsid w:val="0045548A"/>
    <w:rsid w:val="004615E4"/>
    <w:rsid w:val="00472FC0"/>
    <w:rsid w:val="00490CB4"/>
    <w:rsid w:val="004A5685"/>
    <w:rsid w:val="004A6715"/>
    <w:rsid w:val="004A763F"/>
    <w:rsid w:val="004B2314"/>
    <w:rsid w:val="004C49F0"/>
    <w:rsid w:val="004D066A"/>
    <w:rsid w:val="004F0480"/>
    <w:rsid w:val="004F26B1"/>
    <w:rsid w:val="005101F5"/>
    <w:rsid w:val="00525822"/>
    <w:rsid w:val="005341F6"/>
    <w:rsid w:val="00535882"/>
    <w:rsid w:val="00542541"/>
    <w:rsid w:val="00555034"/>
    <w:rsid w:val="005616AD"/>
    <w:rsid w:val="00581ED2"/>
    <w:rsid w:val="005875EE"/>
    <w:rsid w:val="005B150B"/>
    <w:rsid w:val="005B15E0"/>
    <w:rsid w:val="005C6FE1"/>
    <w:rsid w:val="005D18FC"/>
    <w:rsid w:val="005D69B5"/>
    <w:rsid w:val="00605535"/>
    <w:rsid w:val="00620D7B"/>
    <w:rsid w:val="00662A31"/>
    <w:rsid w:val="00697C4D"/>
    <w:rsid w:val="006A6302"/>
    <w:rsid w:val="006D22B0"/>
    <w:rsid w:val="006E1089"/>
    <w:rsid w:val="006F1508"/>
    <w:rsid w:val="00706D45"/>
    <w:rsid w:val="00737329"/>
    <w:rsid w:val="00753122"/>
    <w:rsid w:val="00755E1C"/>
    <w:rsid w:val="00763A5B"/>
    <w:rsid w:val="007668A0"/>
    <w:rsid w:val="007736A9"/>
    <w:rsid w:val="00790D4A"/>
    <w:rsid w:val="007920D9"/>
    <w:rsid w:val="007B1724"/>
    <w:rsid w:val="007C6E09"/>
    <w:rsid w:val="008016A5"/>
    <w:rsid w:val="00804C87"/>
    <w:rsid w:val="0081235D"/>
    <w:rsid w:val="00816329"/>
    <w:rsid w:val="00891A67"/>
    <w:rsid w:val="00892EB5"/>
    <w:rsid w:val="00895BDC"/>
    <w:rsid w:val="008B3AB4"/>
    <w:rsid w:val="008C151A"/>
    <w:rsid w:val="008C3980"/>
    <w:rsid w:val="008D30F5"/>
    <w:rsid w:val="008D66DD"/>
    <w:rsid w:val="008F1B8C"/>
    <w:rsid w:val="009314F2"/>
    <w:rsid w:val="00936F18"/>
    <w:rsid w:val="009553BC"/>
    <w:rsid w:val="0097576A"/>
    <w:rsid w:val="00981BD3"/>
    <w:rsid w:val="00985036"/>
    <w:rsid w:val="009A002B"/>
    <w:rsid w:val="009B2669"/>
    <w:rsid w:val="009B5D6C"/>
    <w:rsid w:val="009C67E3"/>
    <w:rsid w:val="009C756C"/>
    <w:rsid w:val="009D45BC"/>
    <w:rsid w:val="009D530A"/>
    <w:rsid w:val="009E0B92"/>
    <w:rsid w:val="009E3F91"/>
    <w:rsid w:val="00A11F3B"/>
    <w:rsid w:val="00A21DF5"/>
    <w:rsid w:val="00A256FE"/>
    <w:rsid w:val="00A63763"/>
    <w:rsid w:val="00A70BF8"/>
    <w:rsid w:val="00A82AB5"/>
    <w:rsid w:val="00A9227A"/>
    <w:rsid w:val="00AE0E45"/>
    <w:rsid w:val="00AE212C"/>
    <w:rsid w:val="00B039F8"/>
    <w:rsid w:val="00B913C4"/>
    <w:rsid w:val="00BD7A62"/>
    <w:rsid w:val="00BD7C7D"/>
    <w:rsid w:val="00BE2A10"/>
    <w:rsid w:val="00C01033"/>
    <w:rsid w:val="00C05F55"/>
    <w:rsid w:val="00C2268A"/>
    <w:rsid w:val="00C61924"/>
    <w:rsid w:val="00C70630"/>
    <w:rsid w:val="00CE2D9D"/>
    <w:rsid w:val="00CE56C6"/>
    <w:rsid w:val="00D21CD9"/>
    <w:rsid w:val="00D24E92"/>
    <w:rsid w:val="00D33F7C"/>
    <w:rsid w:val="00D417CE"/>
    <w:rsid w:val="00D555E5"/>
    <w:rsid w:val="00D605F8"/>
    <w:rsid w:val="00D6208A"/>
    <w:rsid w:val="00D74D46"/>
    <w:rsid w:val="00D773E1"/>
    <w:rsid w:val="00D8727A"/>
    <w:rsid w:val="00D93889"/>
    <w:rsid w:val="00D93CAA"/>
    <w:rsid w:val="00DA1A7E"/>
    <w:rsid w:val="00DB0978"/>
    <w:rsid w:val="00DE071A"/>
    <w:rsid w:val="00DE77EA"/>
    <w:rsid w:val="00E00E3B"/>
    <w:rsid w:val="00E045B2"/>
    <w:rsid w:val="00E30B59"/>
    <w:rsid w:val="00E3505F"/>
    <w:rsid w:val="00E458B2"/>
    <w:rsid w:val="00E92633"/>
    <w:rsid w:val="00EA0927"/>
    <w:rsid w:val="00EB0700"/>
    <w:rsid w:val="00EB6648"/>
    <w:rsid w:val="00EC40FD"/>
    <w:rsid w:val="00EF5F8E"/>
    <w:rsid w:val="00F70AF7"/>
    <w:rsid w:val="00F72A14"/>
    <w:rsid w:val="00FA0766"/>
    <w:rsid w:val="00FC31BD"/>
    <w:rsid w:val="00FC5F33"/>
    <w:rsid w:val="00FC62AB"/>
    <w:rsid w:val="00FD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49B36487"/>
  <w15:docId w15:val="{048CB8BA-529D-4CE8-801B-C4A2EB22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E45"/>
    <w:rPr>
      <w:sz w:val="24"/>
      <w:szCs w:val="24"/>
    </w:rPr>
  </w:style>
  <w:style w:type="paragraph" w:styleId="Heading1">
    <w:name w:val="heading 1"/>
    <w:next w:val="Normal"/>
    <w:link w:val="Heading1Char"/>
    <w:uiPriority w:val="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uiPriority w:val="20"/>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 w:type="character" w:customStyle="1" w:styleId="Heading1Char">
    <w:name w:val="Heading 1 Char"/>
    <w:basedOn w:val="DefaultParagraphFont"/>
    <w:link w:val="Heading1"/>
    <w:uiPriority w:val="9"/>
    <w:rsid w:val="00AE212C"/>
    <w:rPr>
      <w:rFonts w:ascii="Georgia" w:hAnsi="Georgia"/>
      <w:b/>
      <w:kern w:val="20"/>
      <w:sz w:val="32"/>
      <w:szCs w:val="32"/>
    </w:rPr>
  </w:style>
  <w:style w:type="character" w:customStyle="1" w:styleId="st">
    <w:name w:val="st"/>
    <w:basedOn w:val="DefaultParagraphFont"/>
    <w:rsid w:val="00AE212C"/>
  </w:style>
  <w:style w:type="character" w:customStyle="1" w:styleId="HeaderChar">
    <w:name w:val="Header Char"/>
    <w:basedOn w:val="DefaultParagraphFont"/>
    <w:link w:val="Header"/>
    <w:uiPriority w:val="99"/>
    <w:rsid w:val="007B1724"/>
    <w:rPr>
      <w:rFonts w:ascii="Arial" w:hAnsi="Arial"/>
      <w:kern w:val="12"/>
      <w:sz w:val="18"/>
    </w:rPr>
  </w:style>
  <w:style w:type="paragraph" w:styleId="NormalWeb">
    <w:name w:val="Normal (Web)"/>
    <w:basedOn w:val="Normal"/>
    <w:uiPriority w:val="99"/>
    <w:unhideWhenUsed/>
    <w:rsid w:val="00EC40FD"/>
    <w:pPr>
      <w:spacing w:before="100" w:beforeAutospacing="1" w:after="100" w:afterAutospacing="1"/>
    </w:pPr>
  </w:style>
  <w:style w:type="character" w:styleId="CommentReference">
    <w:name w:val="annotation reference"/>
    <w:basedOn w:val="DefaultParagraphFont"/>
    <w:uiPriority w:val="99"/>
    <w:semiHidden/>
    <w:unhideWhenUsed/>
    <w:rsid w:val="00D773E1"/>
    <w:rPr>
      <w:sz w:val="16"/>
      <w:szCs w:val="16"/>
    </w:rPr>
  </w:style>
  <w:style w:type="paragraph" w:styleId="CommentText">
    <w:name w:val="annotation text"/>
    <w:basedOn w:val="Normal"/>
    <w:link w:val="CommentTextChar"/>
    <w:uiPriority w:val="99"/>
    <w:semiHidden/>
    <w:unhideWhenUsed/>
    <w:rsid w:val="00D773E1"/>
    <w:rPr>
      <w:sz w:val="20"/>
      <w:szCs w:val="20"/>
    </w:rPr>
  </w:style>
  <w:style w:type="character" w:customStyle="1" w:styleId="CommentTextChar">
    <w:name w:val="Comment Text Char"/>
    <w:basedOn w:val="DefaultParagraphFont"/>
    <w:link w:val="CommentText"/>
    <w:uiPriority w:val="99"/>
    <w:semiHidden/>
    <w:rsid w:val="00D773E1"/>
  </w:style>
  <w:style w:type="paragraph" w:styleId="CommentSubject">
    <w:name w:val="annotation subject"/>
    <w:basedOn w:val="CommentText"/>
    <w:next w:val="CommentText"/>
    <w:link w:val="CommentSubjectChar"/>
    <w:uiPriority w:val="99"/>
    <w:semiHidden/>
    <w:unhideWhenUsed/>
    <w:rsid w:val="00D773E1"/>
    <w:rPr>
      <w:b/>
      <w:bCs/>
    </w:rPr>
  </w:style>
  <w:style w:type="character" w:customStyle="1" w:styleId="CommentSubjectChar">
    <w:name w:val="Comment Subject Char"/>
    <w:basedOn w:val="CommentTextChar"/>
    <w:link w:val="CommentSubject"/>
    <w:uiPriority w:val="99"/>
    <w:semiHidden/>
    <w:rsid w:val="00D77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2477">
      <w:bodyDiv w:val="1"/>
      <w:marLeft w:val="0"/>
      <w:marRight w:val="0"/>
      <w:marTop w:val="0"/>
      <w:marBottom w:val="0"/>
      <w:divBdr>
        <w:top w:val="none" w:sz="0" w:space="0" w:color="auto"/>
        <w:left w:val="none" w:sz="0" w:space="0" w:color="auto"/>
        <w:bottom w:val="none" w:sz="0" w:space="0" w:color="auto"/>
        <w:right w:val="none" w:sz="0" w:space="0" w:color="auto"/>
      </w:divBdr>
    </w:div>
    <w:div w:id="618268969">
      <w:bodyDiv w:val="1"/>
      <w:marLeft w:val="0"/>
      <w:marRight w:val="0"/>
      <w:marTop w:val="0"/>
      <w:marBottom w:val="0"/>
      <w:divBdr>
        <w:top w:val="none" w:sz="0" w:space="0" w:color="auto"/>
        <w:left w:val="none" w:sz="0" w:space="0" w:color="auto"/>
        <w:bottom w:val="none" w:sz="0" w:space="0" w:color="auto"/>
        <w:right w:val="none" w:sz="0" w:space="0" w:color="auto"/>
      </w:divBdr>
    </w:div>
    <w:div w:id="1156453208">
      <w:bodyDiv w:val="1"/>
      <w:marLeft w:val="0"/>
      <w:marRight w:val="0"/>
      <w:marTop w:val="0"/>
      <w:marBottom w:val="0"/>
      <w:divBdr>
        <w:top w:val="none" w:sz="0" w:space="0" w:color="auto"/>
        <w:left w:val="none" w:sz="0" w:space="0" w:color="auto"/>
        <w:bottom w:val="none" w:sz="0" w:space="0" w:color="auto"/>
        <w:right w:val="none" w:sz="0" w:space="0" w:color="auto"/>
      </w:divBdr>
    </w:div>
    <w:div w:id="1252666959">
      <w:bodyDiv w:val="1"/>
      <w:marLeft w:val="0"/>
      <w:marRight w:val="0"/>
      <w:marTop w:val="0"/>
      <w:marBottom w:val="0"/>
      <w:divBdr>
        <w:top w:val="none" w:sz="0" w:space="0" w:color="auto"/>
        <w:left w:val="none" w:sz="0" w:space="0" w:color="auto"/>
        <w:bottom w:val="none" w:sz="0" w:space="0" w:color="auto"/>
        <w:right w:val="none" w:sz="0" w:space="0" w:color="auto"/>
      </w:divBdr>
    </w:div>
    <w:div w:id="1344089204">
      <w:bodyDiv w:val="1"/>
      <w:marLeft w:val="0"/>
      <w:marRight w:val="0"/>
      <w:marTop w:val="0"/>
      <w:marBottom w:val="0"/>
      <w:divBdr>
        <w:top w:val="none" w:sz="0" w:space="0" w:color="auto"/>
        <w:left w:val="none" w:sz="0" w:space="0" w:color="auto"/>
        <w:bottom w:val="none" w:sz="0" w:space="0" w:color="auto"/>
        <w:right w:val="none" w:sz="0" w:space="0" w:color="auto"/>
      </w:divBdr>
    </w:div>
    <w:div w:id="1351688155">
      <w:bodyDiv w:val="1"/>
      <w:marLeft w:val="0"/>
      <w:marRight w:val="0"/>
      <w:marTop w:val="0"/>
      <w:marBottom w:val="0"/>
      <w:divBdr>
        <w:top w:val="none" w:sz="0" w:space="0" w:color="auto"/>
        <w:left w:val="none" w:sz="0" w:space="0" w:color="auto"/>
        <w:bottom w:val="none" w:sz="0" w:space="0" w:color="auto"/>
        <w:right w:val="none" w:sz="0" w:space="0" w:color="auto"/>
      </w:divBdr>
    </w:div>
    <w:div w:id="1711150473">
      <w:bodyDiv w:val="1"/>
      <w:marLeft w:val="0"/>
      <w:marRight w:val="0"/>
      <w:marTop w:val="0"/>
      <w:marBottom w:val="0"/>
      <w:divBdr>
        <w:top w:val="none" w:sz="0" w:space="0" w:color="auto"/>
        <w:left w:val="none" w:sz="0" w:space="0" w:color="auto"/>
        <w:bottom w:val="none" w:sz="0" w:space="0" w:color="auto"/>
        <w:right w:val="none" w:sz="0" w:space="0" w:color="auto"/>
      </w:divBdr>
    </w:div>
    <w:div w:id="1874996733">
      <w:bodyDiv w:val="1"/>
      <w:marLeft w:val="0"/>
      <w:marRight w:val="0"/>
      <w:marTop w:val="0"/>
      <w:marBottom w:val="0"/>
      <w:divBdr>
        <w:top w:val="none" w:sz="0" w:space="0" w:color="auto"/>
        <w:left w:val="none" w:sz="0" w:space="0" w:color="auto"/>
        <w:bottom w:val="none" w:sz="0" w:space="0" w:color="auto"/>
        <w:right w:val="none" w:sz="0" w:space="0" w:color="auto"/>
      </w:divBdr>
    </w:div>
    <w:div w:id="1931617109">
      <w:bodyDiv w:val="1"/>
      <w:marLeft w:val="0"/>
      <w:marRight w:val="0"/>
      <w:marTop w:val="0"/>
      <w:marBottom w:val="0"/>
      <w:divBdr>
        <w:top w:val="none" w:sz="0" w:space="0" w:color="auto"/>
        <w:left w:val="none" w:sz="0" w:space="0" w:color="auto"/>
        <w:bottom w:val="none" w:sz="0" w:space="0" w:color="auto"/>
        <w:right w:val="none" w:sz="0" w:space="0" w:color="auto"/>
      </w:divBdr>
    </w:div>
    <w:div w:id="19647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file:///\\WNET-EV1\CommGrp\PROJECT%20WORKING\Great%20Performances\FROM%20VIENNA%20-%20NEW%20YEAR'S%20CELEBRATION%202015\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7" Type="http://schemas.openxmlformats.org/officeDocument/2006/relationships/hyperlink" Target="mailto:ForbesH@wnet.org" TargetMode="External"/><Relationship Id="rId12" Type="http://schemas.openxmlformats.org/officeDocument/2006/relationships/hyperlink" Target="https://twitter.com/GPerfPB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expl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24" Type="http://schemas.openxmlformats.org/officeDocument/2006/relationships/hyperlink" Target="http://www.pbskids.org/cyberchas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thirteen.org/13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Info_Jul2011.dot</Template>
  <TotalTime>2</TotalTime>
  <Pages>1</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8321</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Forbes, Harry</cp:lastModifiedBy>
  <cp:revision>2</cp:revision>
  <cp:lastPrinted>2015-11-11T16:24:00Z</cp:lastPrinted>
  <dcterms:created xsi:type="dcterms:W3CDTF">2015-12-14T23:29:00Z</dcterms:created>
  <dcterms:modified xsi:type="dcterms:W3CDTF">2015-12-14T23:29:00Z</dcterms:modified>
</cp:coreProperties>
</file>