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F5960" w14:textId="77777777" w:rsidR="005F6B99" w:rsidRDefault="005F6B99" w:rsidP="005F6B99">
      <w:pPr>
        <w:widowControl w:val="0"/>
        <w:tabs>
          <w:tab w:val="left" w:pos="2272"/>
          <w:tab w:val="left" w:pos="2430"/>
        </w:tabs>
        <w:spacing w:line="240" w:lineRule="auto"/>
        <w:ind w:right="-16"/>
        <w:rPr>
          <w:kern w:val="0"/>
        </w:rPr>
      </w:pPr>
      <w:r>
        <w:rPr>
          <w:color w:val="000000"/>
          <w:sz w:val="18"/>
          <w:szCs w:val="18"/>
        </w:rPr>
        <w:t>Press Contact:</w:t>
      </w:r>
    </w:p>
    <w:p w14:paraId="2714B934" w14:textId="389CBB6B" w:rsidR="005F6B99" w:rsidRDefault="005F6B99" w:rsidP="005F6B99">
      <w:pPr>
        <w:widowControl w:val="0"/>
        <w:tabs>
          <w:tab w:val="left" w:pos="2272"/>
          <w:tab w:val="left" w:pos="2430"/>
        </w:tabs>
        <w:spacing w:line="240" w:lineRule="auto"/>
        <w:ind w:right="-16"/>
      </w:pPr>
      <w:r>
        <w:rPr>
          <w:color w:val="000000"/>
          <w:sz w:val="18"/>
          <w:szCs w:val="18"/>
        </w:rPr>
        <w:t>Elizabeth Boone, WNET, 212.560.</w:t>
      </w:r>
      <w:r w:rsidR="00917EF8">
        <w:rPr>
          <w:color w:val="000000"/>
          <w:sz w:val="18"/>
          <w:szCs w:val="18"/>
        </w:rPr>
        <w:t>8831</w:t>
      </w:r>
      <w:r>
        <w:rPr>
          <w:color w:val="000000"/>
          <w:sz w:val="18"/>
          <w:szCs w:val="18"/>
        </w:rPr>
        <w:t xml:space="preserve">, </w:t>
      </w:r>
      <w:hyperlink r:id="rId6" w:history="1">
        <w:r w:rsidRPr="00243289">
          <w:rPr>
            <w:rStyle w:val="Hyperlink"/>
            <w:sz w:val="18"/>
            <w:szCs w:val="18"/>
          </w:rPr>
          <w:t>BooneB@wnet.org</w:t>
        </w:r>
      </w:hyperlink>
      <w:r>
        <w:rPr>
          <w:color w:val="000000"/>
          <w:sz w:val="18"/>
          <w:szCs w:val="18"/>
        </w:rPr>
        <w:t xml:space="preserve"> </w:t>
      </w:r>
    </w:p>
    <w:p w14:paraId="43942E8C" w14:textId="77777777" w:rsidR="00CF0C39" w:rsidRDefault="005F6B99" w:rsidP="00317456">
      <w:pPr>
        <w:spacing w:line="240" w:lineRule="auto"/>
        <w:ind w:right="-16"/>
        <w:rPr>
          <w:rStyle w:val="Hyperlink"/>
          <w:color w:val="000000" w:themeColor="text1"/>
          <w:sz w:val="18"/>
          <w:szCs w:val="18"/>
          <w:u w:val="none"/>
        </w:rPr>
      </w:pPr>
      <w:r>
        <w:rPr>
          <w:sz w:val="18"/>
          <w:szCs w:val="18"/>
        </w:rPr>
        <w:t xml:space="preserve">Press Materials: </w:t>
      </w:r>
      <w:hyperlink r:id="rId7" w:history="1">
        <w:r>
          <w:rPr>
            <w:rStyle w:val="Hyperlink"/>
            <w:sz w:val="18"/>
            <w:szCs w:val="18"/>
          </w:rPr>
          <w:t>http://pbs.org/pressroom</w:t>
        </w:r>
      </w:hyperlink>
      <w:r>
        <w:rPr>
          <w:sz w:val="18"/>
          <w:szCs w:val="18"/>
        </w:rPr>
        <w:t xml:space="preserve"> or </w:t>
      </w:r>
      <w:hyperlink r:id="rId8" w:history="1">
        <w:r>
          <w:rPr>
            <w:rStyle w:val="Hyperlink"/>
            <w:sz w:val="18"/>
            <w:szCs w:val="18"/>
          </w:rPr>
          <w:t>http://thirteen.org/pressroom</w:t>
        </w:r>
      </w:hyperlink>
      <w:r w:rsidR="00317456">
        <w:rPr>
          <w:rStyle w:val="Hyperlink"/>
          <w:sz w:val="18"/>
          <w:szCs w:val="18"/>
        </w:rPr>
        <w:br/>
      </w:r>
    </w:p>
    <w:p w14:paraId="6111C6FF" w14:textId="5FAA70CA" w:rsidR="005F6B99" w:rsidRPr="00317456" w:rsidRDefault="00317456" w:rsidP="00317456">
      <w:pPr>
        <w:spacing w:line="240" w:lineRule="auto"/>
        <w:ind w:right="-16"/>
        <w:rPr>
          <w:color w:val="000080"/>
          <w:sz w:val="18"/>
          <w:szCs w:val="18"/>
          <w:u w:val="single"/>
        </w:rPr>
      </w:pPr>
      <w:r w:rsidRPr="00317456">
        <w:rPr>
          <w:rStyle w:val="Hyperlink"/>
          <w:color w:val="000000" w:themeColor="text1"/>
          <w:sz w:val="18"/>
          <w:szCs w:val="18"/>
          <w:u w:val="none"/>
        </w:rPr>
        <w:t xml:space="preserve">Websites: </w:t>
      </w:r>
      <w:r w:rsidRPr="00317456">
        <w:rPr>
          <w:rStyle w:val="Hyperlink"/>
          <w:sz w:val="18"/>
          <w:szCs w:val="18"/>
        </w:rPr>
        <w:t>http://www.pbs.org/wnet/gperf</w:t>
      </w:r>
      <w:r w:rsidRPr="00317456">
        <w:rPr>
          <w:rStyle w:val="Hyperlink"/>
          <w:color w:val="000000" w:themeColor="text1"/>
          <w:sz w:val="18"/>
          <w:szCs w:val="18"/>
          <w:u w:val="none"/>
        </w:rPr>
        <w:t xml:space="preserve">, </w:t>
      </w:r>
      <w:hyperlink r:id="rId9" w:history="1">
        <w:r w:rsidRPr="00317456">
          <w:rPr>
            <w:rStyle w:val="Hyperlink"/>
            <w:sz w:val="18"/>
            <w:szCs w:val="18"/>
          </w:rPr>
          <w:t>@</w:t>
        </w:r>
        <w:proofErr w:type="spellStart"/>
        <w:r w:rsidRPr="00317456">
          <w:rPr>
            <w:rStyle w:val="Hyperlink"/>
            <w:sz w:val="18"/>
            <w:szCs w:val="18"/>
          </w:rPr>
          <w:t>GPerfPBS</w:t>
        </w:r>
        <w:proofErr w:type="spellEnd"/>
      </w:hyperlink>
      <w:r w:rsidRPr="00317456">
        <w:rPr>
          <w:rStyle w:val="Hyperlink"/>
          <w:color w:val="000000" w:themeColor="text1"/>
          <w:sz w:val="18"/>
          <w:szCs w:val="18"/>
          <w:u w:val="none"/>
        </w:rPr>
        <w:t xml:space="preserve">, </w:t>
      </w:r>
      <w:hyperlink r:id="rId10" w:history="1">
        <w:r w:rsidRPr="00317456">
          <w:rPr>
            <w:rStyle w:val="Hyperlink"/>
            <w:sz w:val="18"/>
            <w:szCs w:val="18"/>
          </w:rPr>
          <w:t>facebook.com/</w:t>
        </w:r>
        <w:proofErr w:type="spellStart"/>
        <w:r w:rsidRPr="00317456">
          <w:rPr>
            <w:rStyle w:val="Hyperlink"/>
            <w:sz w:val="18"/>
            <w:szCs w:val="18"/>
          </w:rPr>
          <w:t>GreatPerformances</w:t>
        </w:r>
        <w:proofErr w:type="spellEnd"/>
      </w:hyperlink>
      <w:r>
        <w:rPr>
          <w:rStyle w:val="Hyperlink"/>
          <w:sz w:val="18"/>
          <w:szCs w:val="18"/>
        </w:rPr>
        <w:t xml:space="preserve">, </w:t>
      </w:r>
      <w:hyperlink r:id="rId11" w:history="1">
        <w:r w:rsidR="00CF0C39" w:rsidRPr="00CF0C39">
          <w:rPr>
            <w:rStyle w:val="Hyperlink"/>
            <w:sz w:val="18"/>
            <w:szCs w:val="18"/>
          </w:rPr>
          <w:t>youtube.com/</w:t>
        </w:r>
        <w:proofErr w:type="spellStart"/>
        <w:r w:rsidR="00CF0C39" w:rsidRPr="00CF0C39">
          <w:rPr>
            <w:rStyle w:val="Hyperlink"/>
            <w:sz w:val="18"/>
            <w:szCs w:val="18"/>
          </w:rPr>
          <w:t>greatperformancespbs</w:t>
        </w:r>
        <w:proofErr w:type="spellEnd"/>
      </w:hyperlink>
      <w:r w:rsidR="00CF0C39">
        <w:rPr>
          <w:rStyle w:val="Hyperlink"/>
          <w:sz w:val="18"/>
          <w:szCs w:val="18"/>
        </w:rPr>
        <w:t xml:space="preserve"> </w:t>
      </w:r>
      <w:r w:rsidRPr="00317456">
        <w:rPr>
          <w:rStyle w:val="Hyperlink"/>
          <w:color w:val="000000" w:themeColor="text1"/>
          <w:sz w:val="18"/>
          <w:szCs w:val="18"/>
          <w:u w:val="none"/>
        </w:rPr>
        <w:t>#</w:t>
      </w:r>
      <w:proofErr w:type="spellStart"/>
      <w:r w:rsidRPr="00317456">
        <w:rPr>
          <w:rStyle w:val="Hyperlink"/>
          <w:color w:val="000000" w:themeColor="text1"/>
          <w:sz w:val="18"/>
          <w:szCs w:val="18"/>
          <w:u w:val="none"/>
        </w:rPr>
        <w:t>GreatPerformancesPBS</w:t>
      </w:r>
      <w:proofErr w:type="spellEnd"/>
    </w:p>
    <w:p w14:paraId="30FACF7B" w14:textId="77777777" w:rsidR="005F6B99" w:rsidRDefault="005F6B99" w:rsidP="005F6B99">
      <w:pPr>
        <w:pStyle w:val="NoSpacing"/>
        <w:rPr>
          <w:rFonts w:cs="Arial-ItalicMT"/>
          <w:b/>
          <w:bCs/>
          <w:i/>
          <w:iCs/>
        </w:rPr>
      </w:pPr>
      <w:r w:rsidRPr="002B06D6">
        <w:rPr>
          <w:rFonts w:cs="Arial-ItalicMT"/>
          <w:b/>
          <w:bCs/>
          <w:i/>
          <w:iCs/>
        </w:rPr>
        <w:t xml:space="preserve"> </w:t>
      </w:r>
    </w:p>
    <w:p w14:paraId="28B5E6D3" w14:textId="77777777" w:rsidR="00CF0C39" w:rsidRDefault="00CF0C39" w:rsidP="005F6B99">
      <w:pPr>
        <w:pStyle w:val="NoSpacing"/>
        <w:rPr>
          <w:rFonts w:cs="Arial-ItalicMT"/>
          <w:b/>
          <w:bCs/>
          <w:i/>
          <w:iCs/>
        </w:rPr>
      </w:pPr>
    </w:p>
    <w:p w14:paraId="75D155EA" w14:textId="10AC4B70" w:rsidR="00A15E81" w:rsidRPr="005F6B99" w:rsidRDefault="005F6B99" w:rsidP="005F6B99">
      <w:pPr>
        <w:pStyle w:val="NoSpacing"/>
        <w:jc w:val="center"/>
        <w:rPr>
          <w:rFonts w:cs="Arial-ItalicMT"/>
          <w:b/>
          <w:bCs/>
          <w:i/>
          <w:iCs/>
          <w:sz w:val="32"/>
          <w:szCs w:val="32"/>
        </w:rPr>
      </w:pPr>
      <w:r>
        <w:rPr>
          <w:rFonts w:cs="Arial-ItalicMT"/>
          <w:b/>
          <w:bCs/>
          <w:i/>
          <w:iCs/>
          <w:sz w:val="32"/>
          <w:szCs w:val="32"/>
        </w:rPr>
        <w:t>Great Performances: Julius Caesar</w:t>
      </w:r>
    </w:p>
    <w:p w14:paraId="7AD9D715" w14:textId="4A84FBDF" w:rsidR="00A15E81" w:rsidRPr="005F6B99" w:rsidRDefault="005F6B99" w:rsidP="00A15E81">
      <w:pPr>
        <w:pStyle w:val="NoSpacing"/>
        <w:jc w:val="center"/>
        <w:rPr>
          <w:rFonts w:cs="Arial"/>
          <w:i/>
          <w:sz w:val="24"/>
          <w:szCs w:val="24"/>
        </w:rPr>
      </w:pPr>
      <w:r>
        <w:rPr>
          <w:rFonts w:cs="Arial"/>
          <w:i/>
          <w:sz w:val="24"/>
          <w:szCs w:val="24"/>
        </w:rPr>
        <w:br/>
      </w:r>
      <w:r w:rsidR="00A15E81" w:rsidRPr="005F6B99">
        <w:rPr>
          <w:rFonts w:cs="Arial"/>
          <w:i/>
          <w:sz w:val="24"/>
          <w:szCs w:val="24"/>
        </w:rPr>
        <w:t xml:space="preserve">Premieres nationwide </w:t>
      </w:r>
      <w:r w:rsidR="004261A7" w:rsidRPr="005F6B99">
        <w:rPr>
          <w:rFonts w:cs="Arial"/>
          <w:i/>
          <w:sz w:val="24"/>
          <w:szCs w:val="24"/>
        </w:rPr>
        <w:t xml:space="preserve">Friday, </w:t>
      </w:r>
      <w:r>
        <w:rPr>
          <w:rFonts w:cs="Arial"/>
          <w:i/>
          <w:sz w:val="24"/>
          <w:szCs w:val="24"/>
        </w:rPr>
        <w:t>March</w:t>
      </w:r>
      <w:r w:rsidR="004261A7" w:rsidRPr="005F6B99">
        <w:rPr>
          <w:rFonts w:cs="Arial"/>
          <w:i/>
          <w:sz w:val="24"/>
          <w:szCs w:val="24"/>
        </w:rPr>
        <w:t xml:space="preserve"> 2</w:t>
      </w:r>
      <w:r>
        <w:rPr>
          <w:rFonts w:cs="Arial"/>
          <w:i/>
          <w:sz w:val="24"/>
          <w:szCs w:val="24"/>
        </w:rPr>
        <w:t>9 at 9</w:t>
      </w:r>
      <w:r w:rsidR="00173C2C">
        <w:rPr>
          <w:rFonts w:cs="Arial"/>
          <w:i/>
          <w:sz w:val="24"/>
          <w:szCs w:val="24"/>
        </w:rPr>
        <w:t>:00</w:t>
      </w:r>
      <w:r>
        <w:rPr>
          <w:rFonts w:cs="Arial"/>
          <w:i/>
          <w:sz w:val="24"/>
          <w:szCs w:val="24"/>
        </w:rPr>
        <w:t xml:space="preserve"> p.m. on PBS (check local listings)</w:t>
      </w:r>
    </w:p>
    <w:p w14:paraId="3B0FFDFB" w14:textId="77777777" w:rsidR="004C244D" w:rsidRDefault="004C244D" w:rsidP="004C244D">
      <w:pPr>
        <w:pStyle w:val="NoSpacing"/>
        <w:spacing w:line="360" w:lineRule="auto"/>
        <w:ind w:firstLine="720"/>
        <w:jc w:val="center"/>
        <w:rPr>
          <w:b/>
          <w:color w:val="000000"/>
          <w:szCs w:val="21"/>
        </w:rPr>
      </w:pPr>
    </w:p>
    <w:p w14:paraId="18381794" w14:textId="77777777" w:rsidR="004C244D" w:rsidRDefault="004C244D" w:rsidP="00A15E81">
      <w:pPr>
        <w:pStyle w:val="NoSpacing"/>
        <w:rPr>
          <w:b/>
          <w:color w:val="000000"/>
          <w:szCs w:val="21"/>
        </w:rPr>
      </w:pPr>
    </w:p>
    <w:p w14:paraId="3E0FC658" w14:textId="6616E70F" w:rsidR="00AD0805" w:rsidRPr="00955633" w:rsidRDefault="005F6B99" w:rsidP="00A15E81">
      <w:pPr>
        <w:pStyle w:val="NoSpacing"/>
        <w:rPr>
          <w:b/>
          <w:color w:val="000000"/>
          <w:szCs w:val="21"/>
        </w:rPr>
      </w:pPr>
      <w:r w:rsidRPr="00955633">
        <w:rPr>
          <w:b/>
          <w:color w:val="000000"/>
          <w:szCs w:val="21"/>
        </w:rPr>
        <w:t>Harriet Walter</w:t>
      </w:r>
    </w:p>
    <w:p w14:paraId="708B0703" w14:textId="6FCEBBAE" w:rsidR="00A15E81" w:rsidRPr="00955633" w:rsidRDefault="00CF0C39" w:rsidP="00A15E81">
      <w:pPr>
        <w:pStyle w:val="NoSpacing"/>
        <w:rPr>
          <w:szCs w:val="21"/>
        </w:rPr>
      </w:pPr>
      <w:r>
        <w:rPr>
          <w:szCs w:val="21"/>
        </w:rPr>
        <w:t xml:space="preserve">Brutus in </w:t>
      </w:r>
      <w:r w:rsidRPr="00955633">
        <w:rPr>
          <w:b/>
          <w:i/>
          <w:szCs w:val="21"/>
        </w:rPr>
        <w:t>Great Performances:</w:t>
      </w:r>
      <w:r w:rsidRPr="00955633">
        <w:rPr>
          <w:b/>
          <w:szCs w:val="21"/>
        </w:rPr>
        <w:t xml:space="preserve"> </w:t>
      </w:r>
      <w:r w:rsidRPr="00955633">
        <w:rPr>
          <w:b/>
          <w:i/>
          <w:szCs w:val="21"/>
        </w:rPr>
        <w:t>Julius Caesar</w:t>
      </w:r>
      <w:r>
        <w:rPr>
          <w:szCs w:val="21"/>
        </w:rPr>
        <w:t xml:space="preserve">; </w:t>
      </w:r>
      <w:r w:rsidR="005F6B99" w:rsidRPr="00955633">
        <w:rPr>
          <w:szCs w:val="21"/>
        </w:rPr>
        <w:t>Tony Award-nominated actress</w:t>
      </w:r>
    </w:p>
    <w:p w14:paraId="61D53E44" w14:textId="77777777" w:rsidR="002C30DA" w:rsidRDefault="002C30DA" w:rsidP="00FE1930">
      <w:pPr>
        <w:pStyle w:val="NoSpacing"/>
      </w:pPr>
    </w:p>
    <w:p w14:paraId="00FD484D" w14:textId="77777777" w:rsidR="00D82FC8" w:rsidRDefault="00D82FC8" w:rsidP="00D82FC8">
      <w:pPr>
        <w:rPr>
          <w:iCs/>
        </w:rPr>
      </w:pPr>
      <w:r w:rsidRPr="004475E3">
        <w:rPr>
          <w:iCs/>
        </w:rPr>
        <w:t>Harriet Walter has earned international acclaim throughou</w:t>
      </w:r>
      <w:r>
        <w:rPr>
          <w:iCs/>
        </w:rPr>
        <w:t>t her career. Since training at</w:t>
      </w:r>
      <w:r>
        <w:t xml:space="preserve"> London Academy of Music and Dramatic Art</w:t>
      </w:r>
      <w:r w:rsidRPr="004475E3">
        <w:rPr>
          <w:iCs/>
        </w:rPr>
        <w:t xml:space="preserve">, Walter has worked extensively in theatre, television, film and radio. Most recently, she played Brutus, Henry IV and Prospero all in one day for the </w:t>
      </w:r>
      <w:proofErr w:type="spellStart"/>
      <w:r w:rsidRPr="004475E3">
        <w:rPr>
          <w:iCs/>
        </w:rPr>
        <w:t>Donmar’s</w:t>
      </w:r>
      <w:proofErr w:type="spellEnd"/>
      <w:r w:rsidRPr="004475E3">
        <w:rPr>
          <w:iCs/>
        </w:rPr>
        <w:t xml:space="preserve"> all-female Shakespeare Trilogy and</w:t>
      </w:r>
      <w:r>
        <w:rPr>
          <w:iCs/>
        </w:rPr>
        <w:t>,</w:t>
      </w:r>
      <w:r w:rsidRPr="004475E3">
        <w:rPr>
          <w:iCs/>
        </w:rPr>
        <w:t xml:space="preserve"> for a contrast</w:t>
      </w:r>
      <w:r>
        <w:rPr>
          <w:iCs/>
        </w:rPr>
        <w:t>,</w:t>
      </w:r>
      <w:r w:rsidRPr="004475E3">
        <w:rPr>
          <w:iCs/>
        </w:rPr>
        <w:t xml:space="preserve"> she starred as Linda Loman in </w:t>
      </w:r>
      <w:r w:rsidRPr="004475E3">
        <w:rPr>
          <w:i/>
          <w:iCs/>
        </w:rPr>
        <w:t>Death of a Salesman</w:t>
      </w:r>
      <w:r w:rsidRPr="004475E3">
        <w:rPr>
          <w:iCs/>
        </w:rPr>
        <w:t xml:space="preserve"> for the Royal Shakespeare Company</w:t>
      </w:r>
      <w:bookmarkStart w:id="0" w:name="_GoBack"/>
      <w:bookmarkEnd w:id="0"/>
      <w:r w:rsidRPr="004475E3">
        <w:rPr>
          <w:iCs/>
        </w:rPr>
        <w:t xml:space="preserve"> of which she is an honorary associate artist. Her many roles at the RSC include Cleopatra opposite Sir Patrick S</w:t>
      </w:r>
      <w:r>
        <w:rPr>
          <w:iCs/>
        </w:rPr>
        <w:t xml:space="preserve">tewart in </w:t>
      </w:r>
      <w:r w:rsidRPr="004475E3">
        <w:rPr>
          <w:i/>
          <w:iCs/>
        </w:rPr>
        <w:t>Antony and Cleopatra</w:t>
      </w:r>
      <w:r w:rsidRPr="004475E3">
        <w:rPr>
          <w:iCs/>
        </w:rPr>
        <w:t xml:space="preserve">, Lady Macbeth opposite Sir Anthony Sher in </w:t>
      </w:r>
      <w:r w:rsidRPr="004475E3">
        <w:rPr>
          <w:i/>
          <w:iCs/>
        </w:rPr>
        <w:t>Macbeth</w:t>
      </w:r>
      <w:r w:rsidRPr="004475E3">
        <w:rPr>
          <w:iCs/>
        </w:rPr>
        <w:t xml:space="preserve">, the title role in </w:t>
      </w:r>
      <w:r w:rsidRPr="004475E3">
        <w:rPr>
          <w:i/>
          <w:iCs/>
        </w:rPr>
        <w:t xml:space="preserve">The Duchess of </w:t>
      </w:r>
      <w:proofErr w:type="spellStart"/>
      <w:r w:rsidRPr="004475E3">
        <w:rPr>
          <w:i/>
          <w:iCs/>
        </w:rPr>
        <w:t>Malfi</w:t>
      </w:r>
      <w:proofErr w:type="spellEnd"/>
      <w:r w:rsidRPr="004475E3">
        <w:rPr>
          <w:iCs/>
        </w:rPr>
        <w:t xml:space="preserve"> and Helena in </w:t>
      </w:r>
      <w:r w:rsidRPr="004475E3">
        <w:rPr>
          <w:i/>
          <w:iCs/>
        </w:rPr>
        <w:t>All’s Well That Ends Well</w:t>
      </w:r>
      <w:r w:rsidRPr="004475E3">
        <w:rPr>
          <w:iCs/>
        </w:rPr>
        <w:t xml:space="preserve"> with Dame Peggy A</w:t>
      </w:r>
      <w:r>
        <w:rPr>
          <w:iCs/>
        </w:rPr>
        <w:t xml:space="preserve">shcroft which came to Broadway. </w:t>
      </w:r>
      <w:r w:rsidRPr="004475E3">
        <w:rPr>
          <w:iCs/>
        </w:rPr>
        <w:t xml:space="preserve">She won Olivier Awards for her performances in </w:t>
      </w:r>
      <w:r w:rsidRPr="004475E3">
        <w:rPr>
          <w:i/>
          <w:iCs/>
        </w:rPr>
        <w:t>Twelfth Night</w:t>
      </w:r>
      <w:r w:rsidRPr="004475E3">
        <w:rPr>
          <w:iCs/>
        </w:rPr>
        <w:t xml:space="preserve"> and </w:t>
      </w:r>
      <w:r w:rsidRPr="004475E3">
        <w:rPr>
          <w:i/>
          <w:iCs/>
        </w:rPr>
        <w:t>Three Sisters</w:t>
      </w:r>
      <w:r w:rsidRPr="004475E3">
        <w:rPr>
          <w:iCs/>
        </w:rPr>
        <w:t xml:space="preserve">, and earned a Tony Award nomination for her role as Elizabeth I in the Broadway production of </w:t>
      </w:r>
      <w:r w:rsidRPr="004475E3">
        <w:rPr>
          <w:i/>
          <w:iCs/>
        </w:rPr>
        <w:t>Mary Stuart</w:t>
      </w:r>
      <w:r w:rsidRPr="004475E3">
        <w:rPr>
          <w:iCs/>
        </w:rPr>
        <w:t xml:space="preserve">, for which she had won the Evening Standard Award in the </w:t>
      </w:r>
      <w:proofErr w:type="spellStart"/>
      <w:r w:rsidRPr="004475E3">
        <w:rPr>
          <w:iCs/>
        </w:rPr>
        <w:t>Donmar</w:t>
      </w:r>
      <w:proofErr w:type="spellEnd"/>
      <w:r w:rsidRPr="004475E3">
        <w:rPr>
          <w:iCs/>
        </w:rPr>
        <w:t xml:space="preserve"> West End production in London. Earlier theatre credits include </w:t>
      </w:r>
      <w:r w:rsidRPr="004475E3">
        <w:rPr>
          <w:i/>
          <w:iCs/>
        </w:rPr>
        <w:t>Dinner, The Children’s Hour, Arcadia</w:t>
      </w:r>
      <w:r w:rsidRPr="004475E3">
        <w:rPr>
          <w:iCs/>
        </w:rPr>
        <w:t xml:space="preserve"> (all at the National Theatre), and </w:t>
      </w:r>
      <w:r w:rsidRPr="004475E3">
        <w:rPr>
          <w:i/>
          <w:iCs/>
        </w:rPr>
        <w:t>Three Birds Alighting on a Field, Cloud Nine, Hamlet</w:t>
      </w:r>
      <w:r w:rsidRPr="004475E3">
        <w:rPr>
          <w:iCs/>
        </w:rPr>
        <w:t xml:space="preserve"> and</w:t>
      </w:r>
      <w:r w:rsidRPr="004475E3">
        <w:rPr>
          <w:rStyle w:val="gmaildefault"/>
          <w:iCs/>
        </w:rPr>
        <w:t xml:space="preserve"> </w:t>
      </w:r>
      <w:r w:rsidRPr="004475E3">
        <w:rPr>
          <w:i/>
          <w:iCs/>
        </w:rPr>
        <w:t>The Seagull</w:t>
      </w:r>
      <w:r>
        <w:rPr>
          <w:iCs/>
        </w:rPr>
        <w:t xml:space="preserve"> (all at the Royal Court).</w:t>
      </w:r>
    </w:p>
    <w:p w14:paraId="7A29C750" w14:textId="77777777" w:rsidR="00D82FC8" w:rsidRDefault="00D82FC8" w:rsidP="00D82FC8">
      <w:pPr>
        <w:ind w:firstLine="720"/>
        <w:rPr>
          <w:iCs/>
        </w:rPr>
      </w:pPr>
      <w:r w:rsidRPr="004475E3">
        <w:rPr>
          <w:iCs/>
        </w:rPr>
        <w:t xml:space="preserve">Film credits include </w:t>
      </w:r>
      <w:r w:rsidRPr="004475E3">
        <w:rPr>
          <w:i/>
          <w:iCs/>
        </w:rPr>
        <w:t xml:space="preserve">My Dinner with </w:t>
      </w:r>
      <w:proofErr w:type="spellStart"/>
      <w:r w:rsidRPr="004475E3">
        <w:rPr>
          <w:i/>
          <w:iCs/>
        </w:rPr>
        <w:t>Hervé</w:t>
      </w:r>
      <w:proofErr w:type="spellEnd"/>
      <w:r w:rsidRPr="004475E3">
        <w:rPr>
          <w:i/>
          <w:iCs/>
        </w:rPr>
        <w:t xml:space="preserve">, The Sense of an Ending, Denial, </w:t>
      </w:r>
      <w:proofErr w:type="gramStart"/>
      <w:r w:rsidRPr="004475E3">
        <w:rPr>
          <w:i/>
          <w:iCs/>
        </w:rPr>
        <w:t>Star</w:t>
      </w:r>
      <w:proofErr w:type="gramEnd"/>
      <w:r w:rsidRPr="004475E3">
        <w:rPr>
          <w:i/>
          <w:iCs/>
        </w:rPr>
        <w:t xml:space="preserve"> Wars: The Force Awakens, Atonement, The Young Victoria</w:t>
      </w:r>
      <w:r w:rsidRPr="004475E3">
        <w:rPr>
          <w:iCs/>
        </w:rPr>
        <w:t xml:space="preserve"> and </w:t>
      </w:r>
      <w:r w:rsidRPr="004475E3">
        <w:rPr>
          <w:i/>
          <w:iCs/>
        </w:rPr>
        <w:t>Sense and Sensibility</w:t>
      </w:r>
      <w:r w:rsidRPr="004475E3">
        <w:rPr>
          <w:iCs/>
        </w:rPr>
        <w:t>.</w:t>
      </w:r>
      <w:r w:rsidRPr="004475E3">
        <w:rPr>
          <w:iCs/>
        </w:rPr>
        <w:br/>
      </w:r>
      <w:r w:rsidRPr="004475E3">
        <w:rPr>
          <w:iCs/>
        </w:rPr>
        <w:br/>
      </w:r>
      <w:r w:rsidRPr="004475E3">
        <w:rPr>
          <w:iCs/>
        </w:rPr>
        <w:lastRenderedPageBreak/>
        <w:t xml:space="preserve">Television credits include </w:t>
      </w:r>
      <w:r w:rsidRPr="004475E3">
        <w:rPr>
          <w:i/>
          <w:iCs/>
        </w:rPr>
        <w:t xml:space="preserve">Succession, The Crown, Patrick Melrose, Black Earth Rising, The Spanish Princess </w:t>
      </w:r>
      <w:r w:rsidRPr="004475E3">
        <w:rPr>
          <w:iCs/>
        </w:rPr>
        <w:t xml:space="preserve">and she is remembered by many as </w:t>
      </w:r>
      <w:r w:rsidRPr="004475E3">
        <w:rPr>
          <w:i/>
          <w:iCs/>
        </w:rPr>
        <w:t>Harriet Vane</w:t>
      </w:r>
      <w:r w:rsidRPr="004475E3">
        <w:rPr>
          <w:iCs/>
        </w:rPr>
        <w:t xml:space="preserve"> in the BBC </w:t>
      </w:r>
      <w:r w:rsidRPr="004475E3">
        <w:rPr>
          <w:i/>
          <w:iCs/>
        </w:rPr>
        <w:t xml:space="preserve">Lord Peter Wimsey </w:t>
      </w:r>
      <w:r w:rsidRPr="004475E3">
        <w:rPr>
          <w:iCs/>
        </w:rPr>
        <w:t>series</w:t>
      </w:r>
      <w:r>
        <w:rPr>
          <w:iCs/>
        </w:rPr>
        <w:t>.</w:t>
      </w:r>
    </w:p>
    <w:p w14:paraId="14552271" w14:textId="77777777" w:rsidR="00D82FC8" w:rsidRDefault="00D82FC8" w:rsidP="00D82FC8">
      <w:pPr>
        <w:ind w:firstLine="720"/>
        <w:rPr>
          <w:iCs/>
        </w:rPr>
      </w:pPr>
      <w:r w:rsidRPr="004475E3">
        <w:rPr>
          <w:iCs/>
        </w:rPr>
        <w:t xml:space="preserve">Walter has published four books: </w:t>
      </w:r>
      <w:r w:rsidRPr="004475E3">
        <w:rPr>
          <w:i/>
          <w:iCs/>
        </w:rPr>
        <w:t>Brutus and Other Heroines: Playing Shakespeare’s Roles for Women, Other People’s Shoes, Macbeth</w:t>
      </w:r>
      <w:r w:rsidRPr="004475E3">
        <w:rPr>
          <w:iCs/>
        </w:rPr>
        <w:t xml:space="preserve">, and </w:t>
      </w:r>
      <w:r w:rsidRPr="004475E3">
        <w:rPr>
          <w:i/>
          <w:iCs/>
        </w:rPr>
        <w:t>Facing It</w:t>
      </w:r>
      <w:r>
        <w:rPr>
          <w:iCs/>
        </w:rPr>
        <w:t>.</w:t>
      </w:r>
    </w:p>
    <w:p w14:paraId="2600782B" w14:textId="21170E49" w:rsidR="00D82FC8" w:rsidRPr="004475E3" w:rsidRDefault="00D82FC8" w:rsidP="00D82FC8">
      <w:pPr>
        <w:ind w:firstLine="720"/>
        <w:rPr>
          <w:iCs/>
        </w:rPr>
      </w:pPr>
      <w:r w:rsidRPr="004475E3">
        <w:rPr>
          <w:iCs/>
        </w:rPr>
        <w:t>She was appointed as a Commander of the Most Excellent Order of the British Empire in 2000</w:t>
      </w:r>
      <w:r>
        <w:rPr>
          <w:iCs/>
        </w:rPr>
        <w:t>,</w:t>
      </w:r>
      <w:r w:rsidRPr="004475E3">
        <w:rPr>
          <w:iCs/>
        </w:rPr>
        <w:t xml:space="preserve"> and in 2011</w:t>
      </w:r>
      <w:r>
        <w:rPr>
          <w:iCs/>
        </w:rPr>
        <w:t>,</w:t>
      </w:r>
      <w:r w:rsidRPr="004475E3">
        <w:rPr>
          <w:iCs/>
        </w:rPr>
        <w:t xml:space="preserve"> she was made a Dame.</w:t>
      </w:r>
    </w:p>
    <w:p w14:paraId="3D060A09" w14:textId="77777777" w:rsidR="00DC435E" w:rsidRDefault="00DC435E" w:rsidP="00DC435E">
      <w:pPr>
        <w:pStyle w:val="NoSpacing"/>
        <w:spacing w:line="322" w:lineRule="auto"/>
        <w:ind w:firstLine="720"/>
      </w:pPr>
    </w:p>
    <w:p w14:paraId="7C5C3CD9" w14:textId="79975E71" w:rsidR="00AD0805" w:rsidRPr="00955633" w:rsidRDefault="00AD0805" w:rsidP="00955633">
      <w:pPr>
        <w:spacing w:line="240" w:lineRule="auto"/>
        <w:jc w:val="both"/>
        <w:rPr>
          <w:b/>
          <w:szCs w:val="21"/>
        </w:rPr>
      </w:pPr>
      <w:r w:rsidRPr="00955633">
        <w:rPr>
          <w:b/>
          <w:szCs w:val="21"/>
        </w:rPr>
        <w:t>David Horn</w:t>
      </w:r>
    </w:p>
    <w:p w14:paraId="41783A43" w14:textId="77777777" w:rsidR="00AD0805" w:rsidRPr="00955633" w:rsidRDefault="00AD0805" w:rsidP="00AD0805">
      <w:pPr>
        <w:spacing w:line="240" w:lineRule="auto"/>
        <w:jc w:val="both"/>
        <w:rPr>
          <w:b/>
          <w:bCs/>
          <w:i/>
          <w:iCs/>
          <w:szCs w:val="21"/>
        </w:rPr>
      </w:pPr>
      <w:r w:rsidRPr="00955633">
        <w:rPr>
          <w:szCs w:val="21"/>
        </w:rPr>
        <w:t>Executive Producer</w:t>
      </w:r>
      <w:r w:rsidRPr="00955633">
        <w:rPr>
          <w:i/>
          <w:iCs/>
          <w:szCs w:val="21"/>
        </w:rPr>
        <w:t xml:space="preserve">, </w:t>
      </w:r>
      <w:r w:rsidRPr="00955633">
        <w:rPr>
          <w:b/>
          <w:bCs/>
          <w:i/>
          <w:iCs/>
          <w:szCs w:val="21"/>
        </w:rPr>
        <w:t>Great Performances</w:t>
      </w:r>
    </w:p>
    <w:p w14:paraId="3C5FE16D" w14:textId="77777777" w:rsidR="00AD0805" w:rsidRPr="00955633" w:rsidRDefault="00AD0805" w:rsidP="00AD0805">
      <w:pPr>
        <w:pStyle w:val="NormalIndent"/>
        <w:spacing w:line="240" w:lineRule="auto"/>
        <w:ind w:firstLine="0"/>
        <w:jc w:val="both"/>
        <w:rPr>
          <w:szCs w:val="21"/>
        </w:rPr>
      </w:pPr>
      <w:r w:rsidRPr="00955633">
        <w:rPr>
          <w:szCs w:val="21"/>
        </w:rPr>
        <w:t>Director, Performance &amp; Arts Programming,</w:t>
      </w:r>
      <w:r w:rsidRPr="00955633">
        <w:rPr>
          <w:bCs/>
          <w:szCs w:val="21"/>
        </w:rPr>
        <w:t xml:space="preserve"> THIRTEEN Productions LLC</w:t>
      </w:r>
    </w:p>
    <w:p w14:paraId="3415B3C5" w14:textId="77777777" w:rsidR="00D964E8" w:rsidRDefault="00D82FC8" w:rsidP="00D964E8">
      <w:pPr>
        <w:pStyle w:val="NoSpacing"/>
        <w:rPr>
          <w:sz w:val="20"/>
        </w:rPr>
      </w:pPr>
      <w:hyperlink r:id="rId12" w:history="1">
        <w:r w:rsidR="00D964E8">
          <w:rPr>
            <w:rStyle w:val="Hyperlink"/>
            <w:sz w:val="20"/>
          </w:rPr>
          <w:t>@</w:t>
        </w:r>
        <w:proofErr w:type="spellStart"/>
        <w:r w:rsidR="00D964E8">
          <w:rPr>
            <w:rStyle w:val="Hyperlink"/>
            <w:sz w:val="20"/>
          </w:rPr>
          <w:t>GPerfPBS</w:t>
        </w:r>
        <w:proofErr w:type="spellEnd"/>
      </w:hyperlink>
    </w:p>
    <w:p w14:paraId="4557D835" w14:textId="77777777" w:rsidR="00AD0805" w:rsidRPr="00AD0805" w:rsidRDefault="00AD0805" w:rsidP="00FE1930">
      <w:pPr>
        <w:spacing w:line="240" w:lineRule="auto"/>
        <w:jc w:val="both"/>
        <w:rPr>
          <w:szCs w:val="21"/>
        </w:rPr>
      </w:pPr>
    </w:p>
    <w:p w14:paraId="18DFFD91" w14:textId="4BDE0A90" w:rsidR="008429E2" w:rsidRDefault="005F6B99" w:rsidP="00955633">
      <w:pPr>
        <w:autoSpaceDE w:val="0"/>
        <w:autoSpaceDN w:val="0"/>
        <w:adjustRightInd w:val="0"/>
        <w:rPr>
          <w:kern w:val="0"/>
          <w:szCs w:val="21"/>
        </w:rPr>
      </w:pPr>
      <w:r w:rsidRPr="00217FC8">
        <w:rPr>
          <w:kern w:val="0"/>
          <w:szCs w:val="21"/>
        </w:rPr>
        <w:t xml:space="preserve">As the executive producer of the Emmy Award-winning series </w:t>
      </w:r>
      <w:r w:rsidRPr="00217FC8">
        <w:rPr>
          <w:b/>
          <w:bCs/>
          <w:i/>
          <w:iCs/>
          <w:kern w:val="0"/>
          <w:szCs w:val="21"/>
        </w:rPr>
        <w:t>Great Performances</w:t>
      </w:r>
      <w:r w:rsidRPr="00217FC8">
        <w:rPr>
          <w:kern w:val="0"/>
          <w:szCs w:val="21"/>
        </w:rPr>
        <w:t xml:space="preserve">, David Horn oversees the development, production and programming of WNET’s national performing arts presentations on PBS. During his </w:t>
      </w:r>
      <w:r w:rsidR="00FE1930" w:rsidRPr="00217FC8">
        <w:rPr>
          <w:kern w:val="0"/>
          <w:szCs w:val="21"/>
        </w:rPr>
        <w:t>39</w:t>
      </w:r>
      <w:r w:rsidR="00FE1930">
        <w:rPr>
          <w:kern w:val="0"/>
          <w:szCs w:val="21"/>
        </w:rPr>
        <w:t>-</w:t>
      </w:r>
      <w:r w:rsidRPr="00217FC8">
        <w:rPr>
          <w:kern w:val="0"/>
          <w:szCs w:val="21"/>
        </w:rPr>
        <w:t xml:space="preserve">year tenure with the series, Horn has twice received the prestigious Peabody Award and has been nominated for a Primetime Emmy more than 25 times, winning five. In 2015, he was honored with The Drama League’s </w:t>
      </w:r>
      <w:r w:rsidRPr="00217FC8">
        <w:rPr>
          <w:i/>
          <w:iCs/>
          <w:kern w:val="0"/>
          <w:szCs w:val="21"/>
        </w:rPr>
        <w:t xml:space="preserve">Unique Contribution to the Theater Award </w:t>
      </w:r>
      <w:r w:rsidRPr="00217FC8">
        <w:rPr>
          <w:kern w:val="0"/>
          <w:szCs w:val="21"/>
        </w:rPr>
        <w:t xml:space="preserve">for his vital work in bringing New York </w:t>
      </w:r>
      <w:proofErr w:type="gramStart"/>
      <w:r w:rsidRPr="00217FC8">
        <w:rPr>
          <w:kern w:val="0"/>
          <w:szCs w:val="21"/>
        </w:rPr>
        <w:t>theater</w:t>
      </w:r>
      <w:proofErr w:type="gramEnd"/>
      <w:r w:rsidRPr="00217FC8">
        <w:rPr>
          <w:kern w:val="0"/>
          <w:szCs w:val="21"/>
        </w:rPr>
        <w:t xml:space="preserve"> to a larger audience across America.</w:t>
      </w:r>
    </w:p>
    <w:p w14:paraId="0843ABE7" w14:textId="0A88F859" w:rsidR="008429E2" w:rsidRDefault="005F6B99" w:rsidP="00955633">
      <w:pPr>
        <w:autoSpaceDE w:val="0"/>
        <w:autoSpaceDN w:val="0"/>
        <w:adjustRightInd w:val="0"/>
        <w:ind w:firstLine="720"/>
        <w:rPr>
          <w:kern w:val="0"/>
          <w:szCs w:val="21"/>
        </w:rPr>
      </w:pPr>
      <w:r w:rsidRPr="00217FC8">
        <w:rPr>
          <w:kern w:val="0"/>
          <w:szCs w:val="21"/>
        </w:rPr>
        <w:t xml:space="preserve">In addition to </w:t>
      </w:r>
      <w:r w:rsidRPr="00217FC8">
        <w:rPr>
          <w:b/>
          <w:bCs/>
          <w:i/>
          <w:iCs/>
          <w:kern w:val="0"/>
          <w:szCs w:val="21"/>
        </w:rPr>
        <w:t>Great Performances</w:t>
      </w:r>
      <w:r w:rsidRPr="00217FC8">
        <w:rPr>
          <w:kern w:val="0"/>
          <w:szCs w:val="21"/>
        </w:rPr>
        <w:t xml:space="preserve">, Horn is the creator and executive producer of the Emmy Award-winning series </w:t>
      </w:r>
      <w:r w:rsidRPr="00217FC8">
        <w:rPr>
          <w:b/>
          <w:bCs/>
          <w:i/>
          <w:iCs/>
          <w:kern w:val="0"/>
          <w:szCs w:val="21"/>
        </w:rPr>
        <w:t>NYC-Arts</w:t>
      </w:r>
      <w:r w:rsidRPr="00217FC8">
        <w:rPr>
          <w:kern w:val="0"/>
          <w:szCs w:val="21"/>
        </w:rPr>
        <w:t xml:space="preserve">, a weekly magazine program hosted by Philippe de Montebello and Paula Zahn that features the dynamic arts and culture scene in New York City. Horn is also the creator, executive producer and director of </w:t>
      </w:r>
      <w:r w:rsidRPr="00217FC8">
        <w:rPr>
          <w:b/>
          <w:bCs/>
          <w:i/>
          <w:iCs/>
          <w:kern w:val="0"/>
          <w:szCs w:val="21"/>
        </w:rPr>
        <w:t>Theater Close-Up</w:t>
      </w:r>
      <w:r w:rsidRPr="00955633">
        <w:rPr>
          <w:iCs/>
          <w:kern w:val="0"/>
          <w:szCs w:val="21"/>
        </w:rPr>
        <w:t xml:space="preserve">, </w:t>
      </w:r>
      <w:r w:rsidRPr="00217FC8">
        <w:rPr>
          <w:kern w:val="0"/>
          <w:szCs w:val="21"/>
        </w:rPr>
        <w:t xml:space="preserve">a series dedicated to showcasing the innovative productions of New York City’s Off- and Off-Off-Broadway theaters. Hosted by Sigourney Weaver in its first season and Blythe Danner in its second, Horn ushered </w:t>
      </w:r>
      <w:r w:rsidRPr="00217FC8">
        <w:rPr>
          <w:b/>
          <w:bCs/>
          <w:i/>
          <w:iCs/>
          <w:kern w:val="0"/>
          <w:szCs w:val="21"/>
        </w:rPr>
        <w:t xml:space="preserve">Theater Close-Up </w:t>
      </w:r>
      <w:r w:rsidRPr="00217FC8">
        <w:rPr>
          <w:kern w:val="0"/>
          <w:szCs w:val="21"/>
        </w:rPr>
        <w:t xml:space="preserve">into its fourth year with the critically acclaimed three-play cycle </w:t>
      </w:r>
      <w:r w:rsidRPr="00217FC8">
        <w:rPr>
          <w:i/>
          <w:iCs/>
          <w:kern w:val="0"/>
          <w:szCs w:val="21"/>
        </w:rPr>
        <w:t xml:space="preserve">The </w:t>
      </w:r>
      <w:proofErr w:type="spellStart"/>
      <w:r w:rsidRPr="00217FC8">
        <w:rPr>
          <w:i/>
          <w:iCs/>
          <w:kern w:val="0"/>
          <w:szCs w:val="21"/>
        </w:rPr>
        <w:t>Gabriels</w:t>
      </w:r>
      <w:proofErr w:type="spellEnd"/>
      <w:r w:rsidRPr="00217FC8">
        <w:rPr>
          <w:i/>
          <w:iCs/>
          <w:kern w:val="0"/>
          <w:szCs w:val="21"/>
        </w:rPr>
        <w:t xml:space="preserve"> </w:t>
      </w:r>
      <w:r w:rsidRPr="00217FC8">
        <w:rPr>
          <w:kern w:val="0"/>
          <w:szCs w:val="21"/>
        </w:rPr>
        <w:t xml:space="preserve">from Tony Award-winning playwright and director Richard Nelson. Reinforcing his dedication to the theater, Horn has directed several productions in a new collaboration with </w:t>
      </w:r>
      <w:proofErr w:type="spellStart"/>
      <w:r w:rsidRPr="00217FC8">
        <w:rPr>
          <w:kern w:val="0"/>
          <w:szCs w:val="21"/>
        </w:rPr>
        <w:t>BroadwayHD</w:t>
      </w:r>
      <w:proofErr w:type="spellEnd"/>
      <w:r w:rsidRPr="00217FC8">
        <w:rPr>
          <w:kern w:val="0"/>
          <w:szCs w:val="21"/>
        </w:rPr>
        <w:t xml:space="preserve">, including the historic live stream of the Broadway revival of </w:t>
      </w:r>
      <w:r w:rsidRPr="00217FC8">
        <w:rPr>
          <w:i/>
          <w:iCs/>
          <w:kern w:val="0"/>
          <w:szCs w:val="21"/>
        </w:rPr>
        <w:t>She Loves</w:t>
      </w:r>
      <w:r w:rsidRPr="00217FC8">
        <w:rPr>
          <w:kern w:val="0"/>
          <w:szCs w:val="21"/>
        </w:rPr>
        <w:t xml:space="preserve"> </w:t>
      </w:r>
      <w:r w:rsidRPr="00217FC8">
        <w:rPr>
          <w:i/>
          <w:iCs/>
          <w:kern w:val="0"/>
          <w:szCs w:val="21"/>
        </w:rPr>
        <w:t>Me</w:t>
      </w:r>
      <w:r w:rsidRPr="00217FC8">
        <w:rPr>
          <w:kern w:val="0"/>
          <w:szCs w:val="21"/>
        </w:rPr>
        <w:t xml:space="preserve">, Noël Coward’s </w:t>
      </w:r>
      <w:r w:rsidRPr="00217FC8">
        <w:rPr>
          <w:i/>
          <w:iCs/>
          <w:kern w:val="0"/>
          <w:szCs w:val="21"/>
        </w:rPr>
        <w:t>Present Laughter</w:t>
      </w:r>
      <w:r w:rsidRPr="00217FC8">
        <w:rPr>
          <w:kern w:val="0"/>
          <w:szCs w:val="21"/>
        </w:rPr>
        <w:t xml:space="preserve"> starring Kevin Kline, Paula Vogel’s critically acclaimed play </w:t>
      </w:r>
      <w:r w:rsidRPr="00217FC8">
        <w:rPr>
          <w:i/>
          <w:iCs/>
          <w:kern w:val="0"/>
          <w:szCs w:val="21"/>
        </w:rPr>
        <w:t>Indecent</w:t>
      </w:r>
      <w:r w:rsidRPr="00217FC8">
        <w:rPr>
          <w:kern w:val="0"/>
          <w:szCs w:val="21"/>
        </w:rPr>
        <w:t xml:space="preserve"> and Irving Berlin’s </w:t>
      </w:r>
      <w:r w:rsidRPr="00217FC8">
        <w:rPr>
          <w:i/>
          <w:iCs/>
          <w:kern w:val="0"/>
          <w:szCs w:val="21"/>
        </w:rPr>
        <w:t>Holiday Inn</w:t>
      </w:r>
      <w:r w:rsidRPr="00217FC8">
        <w:rPr>
          <w:kern w:val="0"/>
          <w:szCs w:val="21"/>
        </w:rPr>
        <w:t>.</w:t>
      </w:r>
    </w:p>
    <w:p w14:paraId="685D2982" w14:textId="6EC3141B" w:rsidR="005F6B99" w:rsidRPr="00217FC8" w:rsidRDefault="005F6B99" w:rsidP="00040414">
      <w:pPr>
        <w:autoSpaceDE w:val="0"/>
        <w:autoSpaceDN w:val="0"/>
        <w:adjustRightInd w:val="0"/>
        <w:ind w:firstLine="720"/>
        <w:rPr>
          <w:kern w:val="0"/>
          <w:szCs w:val="21"/>
        </w:rPr>
      </w:pPr>
      <w:r w:rsidRPr="00217FC8">
        <w:rPr>
          <w:kern w:val="0"/>
          <w:szCs w:val="21"/>
        </w:rPr>
        <w:t xml:space="preserve">After his successful productions of </w:t>
      </w:r>
      <w:r w:rsidRPr="00217FC8">
        <w:rPr>
          <w:i/>
          <w:iCs/>
          <w:kern w:val="0"/>
          <w:szCs w:val="21"/>
        </w:rPr>
        <w:t>King Lear</w:t>
      </w:r>
      <w:r w:rsidRPr="00217FC8">
        <w:rPr>
          <w:kern w:val="0"/>
          <w:szCs w:val="21"/>
        </w:rPr>
        <w:t xml:space="preserve">, </w:t>
      </w:r>
      <w:r w:rsidRPr="00217FC8">
        <w:rPr>
          <w:i/>
          <w:iCs/>
          <w:kern w:val="0"/>
          <w:szCs w:val="21"/>
        </w:rPr>
        <w:t>Cyrano de Bergerac</w:t>
      </w:r>
      <w:r w:rsidRPr="00217FC8">
        <w:rPr>
          <w:kern w:val="0"/>
          <w:szCs w:val="21"/>
        </w:rPr>
        <w:t xml:space="preserve">, </w:t>
      </w:r>
      <w:r w:rsidRPr="00217FC8">
        <w:rPr>
          <w:i/>
          <w:iCs/>
          <w:kern w:val="0"/>
          <w:szCs w:val="21"/>
        </w:rPr>
        <w:t>Hamlet</w:t>
      </w:r>
      <w:r w:rsidRPr="00217FC8">
        <w:rPr>
          <w:kern w:val="0"/>
          <w:szCs w:val="21"/>
        </w:rPr>
        <w:t xml:space="preserve"> and </w:t>
      </w:r>
      <w:r w:rsidRPr="00217FC8">
        <w:rPr>
          <w:i/>
          <w:iCs/>
          <w:kern w:val="0"/>
          <w:szCs w:val="21"/>
        </w:rPr>
        <w:t>Macbeth</w:t>
      </w:r>
      <w:r w:rsidRPr="00040414">
        <w:rPr>
          <w:iCs/>
          <w:kern w:val="0"/>
          <w:szCs w:val="21"/>
        </w:rPr>
        <w:t xml:space="preserve">, </w:t>
      </w:r>
      <w:r w:rsidRPr="00217FC8">
        <w:rPr>
          <w:kern w:val="0"/>
          <w:szCs w:val="21"/>
        </w:rPr>
        <w:t xml:space="preserve">all of which were recognized with Best Actor Emmy nominations for Sir Ian </w:t>
      </w:r>
      <w:proofErr w:type="spellStart"/>
      <w:r w:rsidRPr="00217FC8">
        <w:rPr>
          <w:kern w:val="0"/>
          <w:szCs w:val="21"/>
        </w:rPr>
        <w:t>McKellen</w:t>
      </w:r>
      <w:proofErr w:type="spellEnd"/>
      <w:r w:rsidRPr="00217FC8">
        <w:rPr>
          <w:kern w:val="0"/>
          <w:szCs w:val="21"/>
        </w:rPr>
        <w:t xml:space="preserve">, Kevin Kline and Sir Patrick Stewart, respectively, Horn continued his commitment to incorporate Shakespeare into the </w:t>
      </w:r>
      <w:r w:rsidRPr="00217FC8">
        <w:rPr>
          <w:b/>
          <w:bCs/>
          <w:i/>
          <w:iCs/>
          <w:kern w:val="0"/>
          <w:szCs w:val="21"/>
        </w:rPr>
        <w:t>Great</w:t>
      </w:r>
      <w:r w:rsidRPr="00217FC8">
        <w:rPr>
          <w:kern w:val="0"/>
          <w:szCs w:val="21"/>
        </w:rPr>
        <w:t xml:space="preserve"> </w:t>
      </w:r>
      <w:r w:rsidRPr="00217FC8">
        <w:rPr>
          <w:b/>
          <w:bCs/>
          <w:i/>
          <w:iCs/>
          <w:kern w:val="0"/>
          <w:szCs w:val="21"/>
        </w:rPr>
        <w:t xml:space="preserve">Performances </w:t>
      </w:r>
      <w:r w:rsidRPr="00217FC8">
        <w:rPr>
          <w:kern w:val="0"/>
          <w:szCs w:val="21"/>
        </w:rPr>
        <w:t xml:space="preserve">repertoire. In 2015, Horn served as executive producer alongside Sam Mendes and Gareth </w:t>
      </w:r>
      <w:proofErr w:type="spellStart"/>
      <w:r w:rsidRPr="00217FC8">
        <w:rPr>
          <w:kern w:val="0"/>
          <w:szCs w:val="21"/>
        </w:rPr>
        <w:t>Naeme</w:t>
      </w:r>
      <w:proofErr w:type="spellEnd"/>
      <w:r w:rsidRPr="00217FC8">
        <w:rPr>
          <w:kern w:val="0"/>
          <w:szCs w:val="21"/>
        </w:rPr>
        <w:t xml:space="preserve"> for the series </w:t>
      </w:r>
      <w:r w:rsidRPr="00217FC8">
        <w:rPr>
          <w:b/>
          <w:bCs/>
          <w:i/>
          <w:iCs/>
          <w:kern w:val="0"/>
          <w:szCs w:val="21"/>
        </w:rPr>
        <w:t>The Hollow Crown</w:t>
      </w:r>
      <w:r w:rsidRPr="00217FC8">
        <w:rPr>
          <w:kern w:val="0"/>
          <w:szCs w:val="21"/>
        </w:rPr>
        <w:t xml:space="preserve">. Filmed as lavish adaptations of Shakespeare’s history plays, </w:t>
      </w:r>
      <w:r w:rsidRPr="00217FC8">
        <w:rPr>
          <w:b/>
          <w:bCs/>
          <w:i/>
          <w:iCs/>
          <w:kern w:val="0"/>
          <w:szCs w:val="21"/>
        </w:rPr>
        <w:t xml:space="preserve">The Hollow Crown </w:t>
      </w:r>
      <w:r w:rsidRPr="00217FC8">
        <w:rPr>
          <w:kern w:val="0"/>
          <w:szCs w:val="21"/>
        </w:rPr>
        <w:t xml:space="preserve">featured Jeremy Irons, Tom </w:t>
      </w:r>
      <w:proofErr w:type="spellStart"/>
      <w:r w:rsidRPr="00217FC8">
        <w:rPr>
          <w:kern w:val="0"/>
          <w:szCs w:val="21"/>
        </w:rPr>
        <w:t>Hiddleston</w:t>
      </w:r>
      <w:proofErr w:type="spellEnd"/>
      <w:r w:rsidRPr="00217FC8">
        <w:rPr>
          <w:kern w:val="0"/>
          <w:szCs w:val="21"/>
        </w:rPr>
        <w:t xml:space="preserve"> and Ben </w:t>
      </w:r>
      <w:proofErr w:type="spellStart"/>
      <w:r w:rsidRPr="00217FC8">
        <w:rPr>
          <w:kern w:val="0"/>
          <w:szCs w:val="21"/>
        </w:rPr>
        <w:t>Whishaw</w:t>
      </w:r>
      <w:proofErr w:type="spellEnd"/>
      <w:r w:rsidRPr="00217FC8">
        <w:rPr>
          <w:kern w:val="0"/>
          <w:szCs w:val="21"/>
        </w:rPr>
        <w:t xml:space="preserve">, and was followed by </w:t>
      </w:r>
      <w:r w:rsidRPr="00217FC8">
        <w:rPr>
          <w:b/>
          <w:bCs/>
          <w:i/>
          <w:iCs/>
          <w:kern w:val="0"/>
          <w:szCs w:val="21"/>
        </w:rPr>
        <w:t>The Wars of the Roses</w:t>
      </w:r>
      <w:r w:rsidRPr="00217FC8">
        <w:rPr>
          <w:kern w:val="0"/>
          <w:szCs w:val="21"/>
        </w:rPr>
        <w:t xml:space="preserve">, starring Tom Sturridge at Henry VI, Benedict Cumberbatch as Richard the III and an all-star cast including Sophie </w:t>
      </w:r>
      <w:proofErr w:type="spellStart"/>
      <w:r w:rsidRPr="00217FC8">
        <w:rPr>
          <w:kern w:val="0"/>
          <w:szCs w:val="21"/>
        </w:rPr>
        <w:t>Okonedo</w:t>
      </w:r>
      <w:proofErr w:type="spellEnd"/>
      <w:r w:rsidRPr="00217FC8">
        <w:rPr>
          <w:kern w:val="0"/>
          <w:szCs w:val="21"/>
        </w:rPr>
        <w:t>, Judi Dench and Hugh Bonneville.</w:t>
      </w:r>
    </w:p>
    <w:p w14:paraId="5E44AF8B" w14:textId="5E3DB422" w:rsidR="005F6B99" w:rsidRPr="00217FC8" w:rsidRDefault="005F6B99" w:rsidP="00040414">
      <w:pPr>
        <w:autoSpaceDE w:val="0"/>
        <w:autoSpaceDN w:val="0"/>
        <w:adjustRightInd w:val="0"/>
        <w:ind w:firstLine="720"/>
        <w:rPr>
          <w:kern w:val="0"/>
          <w:szCs w:val="21"/>
        </w:rPr>
      </w:pPr>
      <w:r w:rsidRPr="00217FC8">
        <w:rPr>
          <w:kern w:val="0"/>
          <w:szCs w:val="21"/>
        </w:rPr>
        <w:lastRenderedPageBreak/>
        <w:t xml:space="preserve">Contributing to Horn’s extensive catalog of original productions, in the </w:t>
      </w:r>
      <w:r w:rsidR="00A33449">
        <w:rPr>
          <w:kern w:val="0"/>
          <w:szCs w:val="21"/>
        </w:rPr>
        <w:t>‘</w:t>
      </w:r>
      <w:r w:rsidRPr="00217FC8">
        <w:rPr>
          <w:kern w:val="0"/>
          <w:szCs w:val="21"/>
        </w:rPr>
        <w:t xml:space="preserve">90s, Horn created </w:t>
      </w:r>
      <w:r w:rsidRPr="00040414">
        <w:rPr>
          <w:bCs/>
          <w:i/>
          <w:iCs/>
          <w:kern w:val="0"/>
          <w:szCs w:val="21"/>
        </w:rPr>
        <w:t>In the Spotlight</w:t>
      </w:r>
      <w:r w:rsidRPr="00217FC8">
        <w:rPr>
          <w:kern w:val="0"/>
          <w:szCs w:val="21"/>
        </w:rPr>
        <w:t xml:space="preserve">, a series of primetime popular music specials, and was executive producer of </w:t>
      </w:r>
      <w:r w:rsidRPr="00040414">
        <w:rPr>
          <w:bCs/>
          <w:i/>
          <w:iCs/>
          <w:kern w:val="0"/>
          <w:szCs w:val="21"/>
        </w:rPr>
        <w:t>Sessions at West 54th</w:t>
      </w:r>
      <w:r w:rsidRPr="00217FC8">
        <w:rPr>
          <w:kern w:val="0"/>
          <w:szCs w:val="21"/>
        </w:rPr>
        <w:t>, garnering the ASCAP Deems Taylor Award</w:t>
      </w:r>
      <w:r w:rsidR="00652B57">
        <w:rPr>
          <w:kern w:val="0"/>
          <w:szCs w:val="21"/>
        </w:rPr>
        <w:t xml:space="preserve"> </w:t>
      </w:r>
      <w:r w:rsidRPr="00217FC8">
        <w:rPr>
          <w:kern w:val="0"/>
          <w:szCs w:val="21"/>
        </w:rPr>
        <w:t>in recognition of excellence in music broadcast programming</w:t>
      </w:r>
      <w:r w:rsidR="00A33449">
        <w:rPr>
          <w:kern w:val="0"/>
          <w:szCs w:val="21"/>
        </w:rPr>
        <w:t xml:space="preserve"> </w:t>
      </w:r>
      <w:r w:rsidR="00A33449" w:rsidRPr="00217FC8">
        <w:rPr>
          <w:kern w:val="0"/>
          <w:szCs w:val="21"/>
        </w:rPr>
        <w:t>for both</w:t>
      </w:r>
      <w:r w:rsidRPr="00217FC8">
        <w:rPr>
          <w:kern w:val="0"/>
          <w:szCs w:val="21"/>
        </w:rPr>
        <w:t>. He was also the executive producer of two landmark miniseries for PBS</w:t>
      </w:r>
      <w:r w:rsidR="00FE1930">
        <w:rPr>
          <w:kern w:val="0"/>
          <w:szCs w:val="21"/>
        </w:rPr>
        <w:t>:</w:t>
      </w:r>
      <w:r w:rsidR="00FE1930" w:rsidRPr="00217FC8">
        <w:rPr>
          <w:kern w:val="0"/>
          <w:szCs w:val="21"/>
        </w:rPr>
        <w:t xml:space="preserve"> </w:t>
      </w:r>
      <w:r w:rsidRPr="00040414">
        <w:rPr>
          <w:bCs/>
          <w:i/>
          <w:iCs/>
          <w:kern w:val="0"/>
          <w:szCs w:val="21"/>
        </w:rPr>
        <w:t>Make ‘</w:t>
      </w:r>
      <w:proofErr w:type="spellStart"/>
      <w:r w:rsidRPr="00040414">
        <w:rPr>
          <w:bCs/>
          <w:i/>
          <w:iCs/>
          <w:kern w:val="0"/>
          <w:szCs w:val="21"/>
        </w:rPr>
        <w:t>Em</w:t>
      </w:r>
      <w:proofErr w:type="spellEnd"/>
      <w:r w:rsidRPr="00FE1930">
        <w:rPr>
          <w:kern w:val="0"/>
          <w:szCs w:val="21"/>
        </w:rPr>
        <w:t xml:space="preserve"> </w:t>
      </w:r>
      <w:r w:rsidRPr="00040414">
        <w:rPr>
          <w:bCs/>
          <w:i/>
          <w:iCs/>
          <w:kern w:val="0"/>
          <w:szCs w:val="21"/>
        </w:rPr>
        <w:t xml:space="preserve">Laugh: The Funny Business of America </w:t>
      </w:r>
      <w:r w:rsidRPr="00217FC8">
        <w:rPr>
          <w:kern w:val="0"/>
          <w:szCs w:val="21"/>
        </w:rPr>
        <w:t xml:space="preserve">in 2009 and </w:t>
      </w:r>
      <w:r w:rsidRPr="00040414">
        <w:rPr>
          <w:bCs/>
          <w:i/>
          <w:iCs/>
          <w:kern w:val="0"/>
          <w:szCs w:val="21"/>
        </w:rPr>
        <w:t>Broadway: The American Musical</w:t>
      </w:r>
      <w:r w:rsidRPr="00217FC8">
        <w:rPr>
          <w:kern w:val="0"/>
          <w:szCs w:val="21"/>
        </w:rPr>
        <w:t>, which garnered the Primetime Emmy for Non-Fiction series in 2005.</w:t>
      </w:r>
    </w:p>
    <w:p w14:paraId="359BD6CC" w14:textId="00345C90" w:rsidR="005F6B99" w:rsidRPr="00217FC8" w:rsidRDefault="005F6B99" w:rsidP="00040414">
      <w:pPr>
        <w:autoSpaceDE w:val="0"/>
        <w:autoSpaceDN w:val="0"/>
        <w:adjustRightInd w:val="0"/>
        <w:ind w:firstLine="720"/>
        <w:rPr>
          <w:kern w:val="0"/>
          <w:szCs w:val="21"/>
        </w:rPr>
      </w:pPr>
      <w:r w:rsidRPr="00217FC8">
        <w:rPr>
          <w:kern w:val="0"/>
          <w:szCs w:val="21"/>
        </w:rPr>
        <w:t xml:space="preserve">Horn has produced numerous classical music concerts from Carnegie Hall, as well as internationally in Vienna, Salzburg, Rome and Paris. He has also played an instrumental role in producing a variety of regional operas, many of them world premieres, in San Francisco, Santa Fe, Los Angeles, Dallas and Houston, where he won an Emmy for John Adams’ </w:t>
      </w:r>
      <w:r w:rsidRPr="00217FC8">
        <w:rPr>
          <w:i/>
          <w:iCs/>
          <w:kern w:val="0"/>
          <w:szCs w:val="21"/>
        </w:rPr>
        <w:t>Nixon in China</w:t>
      </w:r>
      <w:r w:rsidRPr="00217FC8">
        <w:rPr>
          <w:kern w:val="0"/>
          <w:szCs w:val="21"/>
        </w:rPr>
        <w:t>.</w:t>
      </w:r>
    </w:p>
    <w:p w14:paraId="3855368E" w14:textId="069FC1B1" w:rsidR="00CF4139" w:rsidRPr="00217FC8" w:rsidRDefault="005F6B99" w:rsidP="00040414">
      <w:pPr>
        <w:autoSpaceDE w:val="0"/>
        <w:autoSpaceDN w:val="0"/>
        <w:adjustRightInd w:val="0"/>
        <w:ind w:firstLine="720"/>
        <w:rPr>
          <w:i/>
          <w:iCs/>
          <w:kern w:val="0"/>
          <w:szCs w:val="21"/>
        </w:rPr>
      </w:pPr>
      <w:r w:rsidRPr="00217FC8">
        <w:rPr>
          <w:kern w:val="0"/>
          <w:szCs w:val="21"/>
        </w:rPr>
        <w:t xml:space="preserve">Horn’s multi-camera directing credits include three </w:t>
      </w:r>
      <w:r w:rsidRPr="00217FC8">
        <w:rPr>
          <w:i/>
          <w:iCs/>
          <w:kern w:val="0"/>
          <w:szCs w:val="21"/>
        </w:rPr>
        <w:t xml:space="preserve">GRAMMY Salute to Music Legends </w:t>
      </w:r>
      <w:r w:rsidRPr="00217FC8">
        <w:rPr>
          <w:kern w:val="0"/>
          <w:szCs w:val="21"/>
        </w:rPr>
        <w:t xml:space="preserve">specials, the </w:t>
      </w:r>
      <w:r w:rsidRPr="00217FC8">
        <w:rPr>
          <w:i/>
          <w:iCs/>
          <w:kern w:val="0"/>
          <w:szCs w:val="21"/>
        </w:rPr>
        <w:t>Joan Baez 75th Birthday Celebration</w:t>
      </w:r>
      <w:r w:rsidRPr="00217FC8">
        <w:rPr>
          <w:kern w:val="0"/>
          <w:szCs w:val="21"/>
        </w:rPr>
        <w:t xml:space="preserve">, </w:t>
      </w:r>
      <w:r w:rsidRPr="00217FC8">
        <w:rPr>
          <w:i/>
          <w:iCs/>
          <w:kern w:val="0"/>
          <w:szCs w:val="21"/>
        </w:rPr>
        <w:t>Tony Bennett &amp; Lady Gaga: Cheek to Cheek LIVE!</w:t>
      </w:r>
      <w:r w:rsidRPr="00217FC8">
        <w:rPr>
          <w:kern w:val="0"/>
          <w:szCs w:val="21"/>
        </w:rPr>
        <w:t xml:space="preserve">, </w:t>
      </w:r>
      <w:r w:rsidRPr="00217FC8">
        <w:rPr>
          <w:i/>
          <w:iCs/>
          <w:kern w:val="0"/>
          <w:szCs w:val="21"/>
        </w:rPr>
        <w:t>Steve Martin &amp; Edie Brickell in Concert</w:t>
      </w:r>
      <w:r w:rsidRPr="00217FC8">
        <w:rPr>
          <w:kern w:val="0"/>
          <w:szCs w:val="21"/>
        </w:rPr>
        <w:t xml:space="preserve">, </w:t>
      </w:r>
      <w:r w:rsidRPr="00217FC8">
        <w:rPr>
          <w:i/>
          <w:iCs/>
          <w:kern w:val="0"/>
          <w:szCs w:val="21"/>
        </w:rPr>
        <w:t>Great Performances 40th Anniversary Celebration</w:t>
      </w:r>
      <w:r w:rsidRPr="00217FC8">
        <w:rPr>
          <w:kern w:val="0"/>
          <w:szCs w:val="21"/>
        </w:rPr>
        <w:t>, multiple Andrea Bocelli concerts</w:t>
      </w:r>
      <w:r w:rsidRPr="00217FC8">
        <w:rPr>
          <w:i/>
          <w:iCs/>
          <w:kern w:val="0"/>
          <w:szCs w:val="21"/>
        </w:rPr>
        <w:t xml:space="preserve"> </w:t>
      </w:r>
      <w:r w:rsidRPr="00217FC8">
        <w:rPr>
          <w:kern w:val="0"/>
          <w:szCs w:val="21"/>
        </w:rPr>
        <w:t xml:space="preserve">including his Central Park event, </w:t>
      </w:r>
      <w:r w:rsidRPr="00217FC8">
        <w:rPr>
          <w:i/>
          <w:iCs/>
          <w:kern w:val="0"/>
          <w:szCs w:val="21"/>
        </w:rPr>
        <w:t>Pete Seeger’s 90th Birthday Celebration at MSG</w:t>
      </w:r>
      <w:r w:rsidRPr="00217FC8">
        <w:rPr>
          <w:kern w:val="0"/>
          <w:szCs w:val="21"/>
        </w:rPr>
        <w:t xml:space="preserve">, </w:t>
      </w:r>
      <w:r w:rsidRPr="00217FC8">
        <w:rPr>
          <w:i/>
          <w:iCs/>
          <w:kern w:val="0"/>
          <w:szCs w:val="21"/>
        </w:rPr>
        <w:t>Chess in Concert</w:t>
      </w:r>
      <w:r w:rsidRPr="00217FC8">
        <w:rPr>
          <w:kern w:val="0"/>
          <w:szCs w:val="21"/>
        </w:rPr>
        <w:t>,</w:t>
      </w:r>
      <w:r w:rsidRPr="00217FC8">
        <w:rPr>
          <w:i/>
          <w:iCs/>
          <w:kern w:val="0"/>
          <w:szCs w:val="21"/>
        </w:rPr>
        <w:t xml:space="preserve"> Hitman: David Foster &amp; Friends</w:t>
      </w:r>
      <w:r w:rsidRPr="00217FC8">
        <w:rPr>
          <w:kern w:val="0"/>
          <w:szCs w:val="21"/>
        </w:rPr>
        <w:t xml:space="preserve">, </w:t>
      </w:r>
      <w:r w:rsidRPr="00217FC8">
        <w:rPr>
          <w:i/>
          <w:iCs/>
          <w:kern w:val="0"/>
          <w:szCs w:val="21"/>
        </w:rPr>
        <w:t>We Love Ella!: A Tribute to the First Lady of Song</w:t>
      </w:r>
      <w:r w:rsidRPr="00217FC8">
        <w:rPr>
          <w:kern w:val="0"/>
          <w:szCs w:val="21"/>
        </w:rPr>
        <w:t xml:space="preserve">, </w:t>
      </w:r>
      <w:r w:rsidRPr="00217FC8">
        <w:rPr>
          <w:i/>
          <w:iCs/>
          <w:kern w:val="0"/>
          <w:szCs w:val="21"/>
        </w:rPr>
        <w:t>South Pacific at Carnegie Hall</w:t>
      </w:r>
      <w:r w:rsidRPr="00217FC8">
        <w:rPr>
          <w:kern w:val="0"/>
          <w:szCs w:val="21"/>
        </w:rPr>
        <w:t xml:space="preserve">, </w:t>
      </w:r>
      <w:r w:rsidRPr="00217FC8">
        <w:rPr>
          <w:i/>
          <w:iCs/>
          <w:kern w:val="0"/>
          <w:szCs w:val="21"/>
        </w:rPr>
        <w:t xml:space="preserve">Michael </w:t>
      </w:r>
      <w:proofErr w:type="spellStart"/>
      <w:r w:rsidRPr="00217FC8">
        <w:rPr>
          <w:i/>
          <w:iCs/>
          <w:kern w:val="0"/>
          <w:szCs w:val="21"/>
        </w:rPr>
        <w:t>Bublé</w:t>
      </w:r>
      <w:proofErr w:type="spellEnd"/>
      <w:r w:rsidRPr="00217FC8">
        <w:rPr>
          <w:i/>
          <w:iCs/>
          <w:kern w:val="0"/>
          <w:szCs w:val="21"/>
        </w:rPr>
        <w:t>: Caught in the Act</w:t>
      </w:r>
      <w:r w:rsidRPr="00217FC8">
        <w:rPr>
          <w:kern w:val="0"/>
          <w:szCs w:val="21"/>
        </w:rPr>
        <w:t xml:space="preserve">, </w:t>
      </w:r>
      <w:r w:rsidRPr="00217FC8">
        <w:rPr>
          <w:i/>
          <w:iCs/>
          <w:kern w:val="0"/>
          <w:szCs w:val="21"/>
        </w:rPr>
        <w:t xml:space="preserve">Josh </w:t>
      </w:r>
      <w:proofErr w:type="spellStart"/>
      <w:r w:rsidRPr="00217FC8">
        <w:rPr>
          <w:i/>
          <w:iCs/>
          <w:kern w:val="0"/>
          <w:szCs w:val="21"/>
        </w:rPr>
        <w:t>Groban</w:t>
      </w:r>
      <w:proofErr w:type="spellEnd"/>
      <w:r w:rsidRPr="00217FC8">
        <w:rPr>
          <w:i/>
          <w:iCs/>
          <w:kern w:val="0"/>
          <w:szCs w:val="21"/>
        </w:rPr>
        <w:t xml:space="preserve"> Live at the Greek</w:t>
      </w:r>
      <w:r w:rsidRPr="00040414">
        <w:rPr>
          <w:iCs/>
          <w:kern w:val="0"/>
          <w:szCs w:val="21"/>
        </w:rPr>
        <w:t xml:space="preserve"> and many others</w:t>
      </w:r>
      <w:r w:rsidRPr="00217FC8">
        <w:rPr>
          <w:i/>
          <w:iCs/>
          <w:kern w:val="0"/>
          <w:szCs w:val="21"/>
        </w:rPr>
        <w:t xml:space="preserve">. </w:t>
      </w:r>
      <w:r w:rsidRPr="00217FC8">
        <w:rPr>
          <w:kern w:val="0"/>
          <w:szCs w:val="21"/>
        </w:rPr>
        <w:t>From</w:t>
      </w:r>
      <w:r w:rsidRPr="00217FC8">
        <w:rPr>
          <w:i/>
          <w:iCs/>
          <w:kern w:val="0"/>
          <w:szCs w:val="21"/>
        </w:rPr>
        <w:t xml:space="preserve"> </w:t>
      </w:r>
      <w:r w:rsidRPr="00217FC8">
        <w:rPr>
          <w:kern w:val="0"/>
          <w:szCs w:val="21"/>
        </w:rPr>
        <w:t xml:space="preserve">1981 to 1983, Horn produced the series </w:t>
      </w:r>
      <w:r w:rsidRPr="00217FC8">
        <w:rPr>
          <w:i/>
          <w:iCs/>
          <w:kern w:val="0"/>
          <w:szCs w:val="21"/>
        </w:rPr>
        <w:t>In Performance at the White House</w:t>
      </w:r>
      <w:r w:rsidRPr="00040414">
        <w:rPr>
          <w:iCs/>
          <w:kern w:val="0"/>
          <w:szCs w:val="21"/>
        </w:rPr>
        <w:t>.</w:t>
      </w:r>
    </w:p>
    <w:p w14:paraId="3597D1F9" w14:textId="77777777" w:rsidR="00493B73" w:rsidRPr="00217FC8" w:rsidRDefault="00493B73" w:rsidP="00FE1930">
      <w:pPr>
        <w:pStyle w:val="NormalIndent"/>
        <w:rPr>
          <w:szCs w:val="21"/>
        </w:rPr>
      </w:pPr>
    </w:p>
    <w:p w14:paraId="1C5F1CB2" w14:textId="07DC86F9" w:rsidR="00493B73" w:rsidRPr="00217FC8" w:rsidRDefault="00493B73" w:rsidP="00FE1930">
      <w:pPr>
        <w:pStyle w:val="NormalIndent"/>
        <w:jc w:val="center"/>
        <w:rPr>
          <w:szCs w:val="21"/>
        </w:rPr>
      </w:pPr>
      <w:r w:rsidRPr="00217FC8">
        <w:rPr>
          <w:szCs w:val="21"/>
        </w:rPr>
        <w:t>###</w:t>
      </w:r>
    </w:p>
    <w:sectPr w:rsidR="00493B73" w:rsidRPr="00217FC8">
      <w:headerReference w:type="first" r:id="rId1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DA0D" w14:textId="77777777" w:rsidR="007D308B" w:rsidRDefault="007D308B">
      <w:r>
        <w:separator/>
      </w:r>
    </w:p>
  </w:endnote>
  <w:endnote w:type="continuationSeparator" w:id="0">
    <w:p w14:paraId="19AE2B6A" w14:textId="77777777" w:rsidR="007D308B" w:rsidRDefault="007D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C608" w14:textId="77777777" w:rsidR="007D308B" w:rsidRDefault="007D308B">
      <w:r>
        <w:separator/>
      </w:r>
    </w:p>
  </w:footnote>
  <w:footnote w:type="continuationSeparator" w:id="0">
    <w:p w14:paraId="49A055A0" w14:textId="77777777" w:rsidR="007D308B" w:rsidRDefault="007D3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30653"/>
    <w:rsid w:val="00040414"/>
    <w:rsid w:val="000852C6"/>
    <w:rsid w:val="000F67BF"/>
    <w:rsid w:val="00173C2C"/>
    <w:rsid w:val="00184283"/>
    <w:rsid w:val="00197973"/>
    <w:rsid w:val="001B61EA"/>
    <w:rsid w:val="00217FC8"/>
    <w:rsid w:val="00277426"/>
    <w:rsid w:val="00290141"/>
    <w:rsid w:val="002B47FE"/>
    <w:rsid w:val="002C30DA"/>
    <w:rsid w:val="002F27E4"/>
    <w:rsid w:val="00317456"/>
    <w:rsid w:val="00360876"/>
    <w:rsid w:val="00364F79"/>
    <w:rsid w:val="00380AA9"/>
    <w:rsid w:val="004261A7"/>
    <w:rsid w:val="00460225"/>
    <w:rsid w:val="004732C5"/>
    <w:rsid w:val="00486CBA"/>
    <w:rsid w:val="00493B73"/>
    <w:rsid w:val="004C244D"/>
    <w:rsid w:val="004E0774"/>
    <w:rsid w:val="005F2A5A"/>
    <w:rsid w:val="005F6B99"/>
    <w:rsid w:val="00652B57"/>
    <w:rsid w:val="00705AEA"/>
    <w:rsid w:val="007D308B"/>
    <w:rsid w:val="008429E2"/>
    <w:rsid w:val="00917EF8"/>
    <w:rsid w:val="009370A2"/>
    <w:rsid w:val="00955633"/>
    <w:rsid w:val="00A15E81"/>
    <w:rsid w:val="00A33449"/>
    <w:rsid w:val="00AD0805"/>
    <w:rsid w:val="00B93B36"/>
    <w:rsid w:val="00CF0C39"/>
    <w:rsid w:val="00CF4139"/>
    <w:rsid w:val="00D03473"/>
    <w:rsid w:val="00D74C2C"/>
    <w:rsid w:val="00D82FC8"/>
    <w:rsid w:val="00D964E8"/>
    <w:rsid w:val="00DC435E"/>
    <w:rsid w:val="00DC6B21"/>
    <w:rsid w:val="00EC21BE"/>
    <w:rsid w:val="00EF5C9A"/>
    <w:rsid w:val="00F0686C"/>
    <w:rsid w:val="00F103AA"/>
    <w:rsid w:val="00F82B6C"/>
    <w:rsid w:val="00FE1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02038B81-5507-46DA-BAF7-0A8975C6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Emphasis">
    <w:name w:val="Emphasis"/>
    <w:uiPriority w:val="20"/>
    <w:qFormat/>
    <w:rsid w:val="00A15E81"/>
    <w:rPr>
      <w:i/>
      <w:iCs/>
    </w:rPr>
  </w:style>
  <w:style w:type="paragraph" w:styleId="NormalWeb">
    <w:name w:val="Normal (Web)"/>
    <w:basedOn w:val="Normal"/>
    <w:uiPriority w:val="99"/>
    <w:rsid w:val="00A15E81"/>
    <w:pPr>
      <w:spacing w:before="100" w:beforeAutospacing="1" w:after="100" w:afterAutospacing="1" w:line="240" w:lineRule="auto"/>
    </w:pPr>
    <w:rPr>
      <w:rFonts w:ascii="Times New Roman" w:hAnsi="Times New Roman"/>
      <w:kern w:val="0"/>
      <w:sz w:val="24"/>
      <w:szCs w:val="24"/>
    </w:rPr>
  </w:style>
  <w:style w:type="character" w:customStyle="1" w:styleId="InternetLink">
    <w:name w:val="Internet Link"/>
    <w:basedOn w:val="DefaultParagraphFont"/>
    <w:uiPriority w:val="99"/>
    <w:rsid w:val="00A15E81"/>
    <w:rPr>
      <w:rFonts w:ascii="Calibri" w:hAnsi="Calibri"/>
      <w:color w:val="1F497D" w:themeColor="text2"/>
      <w:sz w:val="22"/>
      <w:u w:val="single"/>
    </w:rPr>
  </w:style>
  <w:style w:type="character" w:styleId="CommentReference">
    <w:name w:val="annotation reference"/>
    <w:basedOn w:val="DefaultParagraphFont"/>
    <w:uiPriority w:val="99"/>
    <w:semiHidden/>
    <w:unhideWhenUsed/>
    <w:rsid w:val="00CF0C39"/>
    <w:rPr>
      <w:sz w:val="16"/>
      <w:szCs w:val="16"/>
    </w:rPr>
  </w:style>
  <w:style w:type="paragraph" w:styleId="CommentText">
    <w:name w:val="annotation text"/>
    <w:basedOn w:val="Normal"/>
    <w:link w:val="CommentTextChar"/>
    <w:uiPriority w:val="99"/>
    <w:semiHidden/>
    <w:unhideWhenUsed/>
    <w:rsid w:val="00CF0C39"/>
    <w:pPr>
      <w:spacing w:line="240" w:lineRule="auto"/>
    </w:pPr>
    <w:rPr>
      <w:sz w:val="20"/>
    </w:rPr>
  </w:style>
  <w:style w:type="character" w:customStyle="1" w:styleId="CommentTextChar">
    <w:name w:val="Comment Text Char"/>
    <w:basedOn w:val="DefaultParagraphFont"/>
    <w:link w:val="CommentText"/>
    <w:uiPriority w:val="99"/>
    <w:semiHidden/>
    <w:rsid w:val="00CF0C39"/>
    <w:rPr>
      <w:rFonts w:ascii="Georgia" w:hAnsi="Georgia"/>
      <w:kern w:val="16"/>
    </w:rPr>
  </w:style>
  <w:style w:type="paragraph" w:styleId="CommentSubject">
    <w:name w:val="annotation subject"/>
    <w:basedOn w:val="CommentText"/>
    <w:next w:val="CommentText"/>
    <w:link w:val="CommentSubjectChar"/>
    <w:uiPriority w:val="99"/>
    <w:semiHidden/>
    <w:unhideWhenUsed/>
    <w:rsid w:val="00CF0C39"/>
    <w:rPr>
      <w:b/>
      <w:bCs/>
    </w:rPr>
  </w:style>
  <w:style w:type="character" w:customStyle="1" w:styleId="CommentSubjectChar">
    <w:name w:val="Comment Subject Char"/>
    <w:basedOn w:val="CommentTextChar"/>
    <w:link w:val="CommentSubject"/>
    <w:uiPriority w:val="99"/>
    <w:semiHidden/>
    <w:rsid w:val="00CF0C39"/>
    <w:rPr>
      <w:rFonts w:ascii="Georgia" w:hAnsi="Georgia"/>
      <w:b/>
      <w:bCs/>
      <w:kern w:val="16"/>
    </w:rPr>
  </w:style>
  <w:style w:type="character" w:customStyle="1" w:styleId="gmaildefault">
    <w:name w:val="gmail_default"/>
    <w:basedOn w:val="DefaultParagraphFont"/>
    <w:rsid w:val="00D8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4426">
      <w:bodyDiv w:val="1"/>
      <w:marLeft w:val="0"/>
      <w:marRight w:val="0"/>
      <w:marTop w:val="0"/>
      <w:marBottom w:val="0"/>
      <w:divBdr>
        <w:top w:val="none" w:sz="0" w:space="0" w:color="auto"/>
        <w:left w:val="none" w:sz="0" w:space="0" w:color="auto"/>
        <w:bottom w:val="none" w:sz="0" w:space="0" w:color="auto"/>
        <w:right w:val="none" w:sz="0" w:space="0" w:color="auto"/>
      </w:divBdr>
    </w:div>
    <w:div w:id="503666373">
      <w:bodyDiv w:val="1"/>
      <w:marLeft w:val="0"/>
      <w:marRight w:val="0"/>
      <w:marTop w:val="0"/>
      <w:marBottom w:val="0"/>
      <w:divBdr>
        <w:top w:val="none" w:sz="0" w:space="0" w:color="auto"/>
        <w:left w:val="none" w:sz="0" w:space="0" w:color="auto"/>
        <w:bottom w:val="none" w:sz="0" w:space="0" w:color="auto"/>
        <w:right w:val="none" w:sz="0" w:space="0" w:color="auto"/>
      </w:divBdr>
    </w:div>
    <w:div w:id="95633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s://twitter.com/GPerfP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oneB@wnet.org" TargetMode="External"/><Relationship Id="rId11" Type="http://schemas.openxmlformats.org/officeDocument/2006/relationships/hyperlink" Target="http://youtube.com/greatperformancespb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GreatPerformances/" TargetMode="External"/><Relationship Id="rId4" Type="http://schemas.openxmlformats.org/officeDocument/2006/relationships/footnotes" Target="footnotes.xml"/><Relationship Id="rId9" Type="http://schemas.openxmlformats.org/officeDocument/2006/relationships/hyperlink" Target="https://twitter.com/GPerfPB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980</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6754</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3</cp:revision>
  <cp:lastPrinted>2009-01-15T16:43:00Z</cp:lastPrinted>
  <dcterms:created xsi:type="dcterms:W3CDTF">2019-01-14T19:19:00Z</dcterms:created>
  <dcterms:modified xsi:type="dcterms:W3CDTF">2019-01-14T19:22:00Z</dcterms:modified>
</cp:coreProperties>
</file>